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hint="default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杭银理财幸福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99添益90天周期型理财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spacing w:beforeAutospacing="0" w:afterAutospacing="0" w:line="240" w:lineRule="auto"/>
        <w:jc w:val="lef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</w:p>
    <w:p>
      <w:pPr>
        <w:widowControl/>
        <w:tabs>
          <w:tab w:val="left" w:pos="2930"/>
        </w:tabs>
        <w:spacing w:beforeAutospacing="0" w:afterAutospacing="0" w:line="240" w:lineRule="auto"/>
        <w:jc w:val="lef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根据市场情况及产品投资的资产组合收益变动情况，杭银理财幸福99添益90天周期型理财（产品编号：TYG90D2101）的业绩比较基准2023年5月12日起调整如下：</w:t>
      </w:r>
    </w:p>
    <w:tbl>
      <w:tblPr>
        <w:tblW w:w="8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3.2%-4.2%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2.9%-3.6%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业绩基准测算依据：产品重点投资于信用债、同业存单等资产，根据当前市场环境，预投资产收益率平均在</w:t>
      </w:r>
      <w:r>
        <w:rPr>
          <w:rFonts w:hint="eastAsia" w:ascii="宋体" w:hAnsi="宋体" w:cs="宋体"/>
          <w:color w:val="333333"/>
          <w:kern w:val="0"/>
          <w:sz w:val="24"/>
          <w:highlight w:val="none"/>
          <w:lang w:val="en-US" w:eastAsia="zh-CN"/>
        </w:rPr>
        <w:t>3.5%-4.0%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左右，同时根据流动性管理需要和监管要求配置不低于5%的高流动性资产。综合来看，扣除相关税费成本后投资者可获得收益率的中枢预计在</w:t>
      </w:r>
      <w:r>
        <w:rPr>
          <w:rFonts w:hint="eastAsia" w:ascii="宋体" w:hAnsi="宋体" w:cs="宋体"/>
          <w:color w:val="333333"/>
          <w:kern w:val="0"/>
          <w:sz w:val="24"/>
          <w:highlight w:val="none"/>
          <w:lang w:val="en-US" w:eastAsia="zh-CN"/>
        </w:rPr>
        <w:t>3.0%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左右。业绩比较基准不构成对委托财产收益的任何暗示和保证，业绩比较基准并不代表实际收益率。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hint="default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spacing w:beforeAutospacing="0" w:afterAutospacing="0" w:line="240" w:lineRule="auto"/>
        <w:jc w:val="right"/>
        <w:rPr>
          <w:rFonts w:hint="eastAsia"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spacing w:beforeAutospacing="0" w:afterAutospacing="0" w:line="240" w:lineRule="auto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2023年5月11日</w:t>
      </w:r>
    </w:p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nhideWhenUsed/>
    <w:qFormat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Lines>3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cp:lastPrinted>2023-05-11T06:27:00Z</cp:lastPrinted>
  <dcterms:modified xsi:type="dcterms:W3CDTF">2023-05-12T03:17:43Z</dcterms:modified>
  <dc:title>杭银理财幸福99添益90天周期型理财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156FBEF45315492997A928A82EDAEB25</vt:lpwstr>
  </property>
</Properties>
</file>