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20"/>
        </w:rPr>
      </w:pPr>
    </w:p>
    <w:p>
      <w:pPr>
        <w:adjustRightInd w:val="0"/>
        <w:snapToGrid w:val="0"/>
        <w:spacing w:line="460" w:lineRule="exact"/>
        <w:jc w:val="center"/>
        <w:rPr>
          <w:rFonts w:ascii="Times New Roman" w:hAnsi="Times New Roman" w:eastAsia="方正楷体简体"/>
          <w:sz w:val="24"/>
        </w:rPr>
      </w:pPr>
    </w:p>
    <w:p>
      <w:pPr>
        <w:pStyle w:val="2"/>
        <w:keepNext w:val="0"/>
        <w:keepLines w:val="0"/>
        <w:autoSpaceDE w:val="0"/>
        <w:autoSpaceDN w:val="0"/>
        <w:spacing w:before="220" w:line="240" w:lineRule="auto"/>
        <w:jc w:val="center"/>
        <w:rPr>
          <w:rFonts w:ascii="仿宋_GB2312" w:hAnsi="仿宋_GB2312" w:eastAsia="仿宋_GB2312" w:cs="仿宋_GB2312"/>
          <w:bCs/>
          <w:kern w:val="0"/>
          <w:sz w:val="52"/>
          <w:szCs w:val="52"/>
          <w:lang w:bidi="zh-CN"/>
        </w:rPr>
      </w:pPr>
      <w:r>
        <w:rPr>
          <w:rFonts w:hint="eastAsia" w:ascii="仿宋_GB2312" w:hAnsi="仿宋_GB2312" w:eastAsia="仿宋_GB2312" w:cs="仿宋_GB2312"/>
          <w:bCs/>
          <w:kern w:val="0"/>
          <w:sz w:val="52"/>
          <w:szCs w:val="52"/>
          <w:lang w:bidi="zh-CN"/>
        </w:rPr>
        <w:t>杭银理财幸福99添益90天周期型理财计划</w:t>
      </w:r>
    </w:p>
    <w:p>
      <w:pPr>
        <w:autoSpaceDE w:val="0"/>
        <w:autoSpaceDN w:val="0"/>
        <w:spacing w:line="360" w:lineRule="auto"/>
        <w:jc w:val="center"/>
        <w:rPr>
          <w:rFonts w:ascii="仿宋_GB2312" w:hAnsi="仿宋_GB2312" w:eastAsia="仿宋_GB2312" w:cs="仿宋_GB2312"/>
          <w:b/>
          <w:bCs/>
          <w:kern w:val="0"/>
          <w:sz w:val="44"/>
          <w:szCs w:val="44"/>
          <w:lang w:bidi="zh-CN"/>
        </w:rPr>
      </w:pPr>
      <w:r>
        <w:rPr>
          <w:rFonts w:hint="eastAsia" w:ascii="仿宋_GB2312" w:hAnsi="仿宋_GB2312" w:eastAsia="仿宋_GB2312" w:cs="仿宋_GB2312"/>
          <w:b/>
          <w:bCs/>
          <w:kern w:val="0"/>
          <w:sz w:val="44"/>
          <w:szCs w:val="44"/>
          <w:lang w:bidi="zh-CN"/>
        </w:rPr>
        <w:t>2023</w:t>
      </w:r>
      <w:r>
        <w:rPr>
          <w:rFonts w:ascii="仿宋_GB2312" w:hAnsi="仿宋_GB2312" w:eastAsia="仿宋_GB2312" w:cs="仿宋_GB2312"/>
          <w:b/>
          <w:sz w:val="44"/>
        </w:rPr>
        <w:t>年第1季度报告</w:t>
      </w:r>
    </w:p>
    <w:p>
      <w:pPr>
        <w:jc w:val="center"/>
        <w:rPr>
          <w:rFonts w:ascii="宋体" w:hAnsi="宋体" w:eastAsia="宋体" w:cs="Times New Roman"/>
          <w:color w:val="0000FF"/>
          <w:kern w:val="0"/>
          <w:sz w:val="18"/>
          <w:szCs w:val="20"/>
        </w:rPr>
      </w:pPr>
    </w:p>
    <w:p>
      <w:pPr>
        <w:jc w:val="center"/>
        <w:rPr>
          <w:rFonts w:eastAsia="宋体"/>
          <w:sz w:val="24"/>
        </w:rPr>
      </w:pPr>
    </w:p>
    <w:p>
      <w:pPr>
        <w:jc w:val="center"/>
        <w:rPr>
          <w:rFonts w:eastAsia="宋体"/>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产品管理人：</w:t>
      </w:r>
      <w:r>
        <w:rPr>
          <w:rFonts w:ascii="仿宋" w:hAnsi="仿宋" w:eastAsia="仿宋" w:cs="仿宋"/>
          <w:sz w:val="24"/>
        </w:rPr>
        <w:t>杭银理财有限责任公司</w:t>
      </w:r>
    </w:p>
    <w:p>
      <w:pPr>
        <w:jc w:val="center"/>
        <w:rPr>
          <w:rFonts w:ascii="仿宋" w:hAnsi="仿宋" w:eastAsia="仿宋" w:cs="仿宋"/>
          <w:sz w:val="24"/>
        </w:rPr>
      </w:pPr>
      <w:r>
        <w:rPr>
          <w:rFonts w:hint="eastAsia" w:ascii="仿宋" w:hAnsi="仿宋" w:eastAsia="仿宋" w:cs="仿宋"/>
          <w:sz w:val="24"/>
        </w:rPr>
        <w:t>产品托管人：</w:t>
      </w:r>
      <w:r>
        <w:rPr>
          <w:rFonts w:ascii="仿宋" w:hAnsi="仿宋" w:eastAsia="仿宋" w:cs="仿宋"/>
          <w:sz w:val="24"/>
        </w:rPr>
        <w:t>杭州银行股份有限公司</w:t>
      </w: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2023年4月19日</w:t>
      </w: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§1  重要提示</w:t>
      </w:r>
    </w:p>
    <w:tbl>
      <w:tblPr>
        <w:tblStyle w:val="10"/>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1" w:hRule="atLeast"/>
        </w:trPr>
        <w:tc>
          <w:tcPr>
            <w:tcW w:w="912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产品管理人承诺以诚实信用、勤勉尽责的原则管理和运用产品资产，并如实反映产品财务指标及投资组合情况，但不保证产品一定盈利。</w:t>
            </w:r>
          </w:p>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产品托管人根据本</w:t>
            </w:r>
            <w:r>
              <w:rPr>
                <w:rFonts w:hint="eastAsia" w:ascii="仿宋" w:hAnsi="仿宋" w:eastAsia="仿宋" w:cs="仿宋"/>
                <w:color w:val="000000"/>
                <w:sz w:val="24"/>
              </w:rPr>
              <w:t>产品</w:t>
            </w:r>
            <w:r>
              <w:rPr>
                <w:rFonts w:hint="eastAsia" w:ascii="仿宋" w:hAnsi="仿宋" w:eastAsia="仿宋" w:cs="仿宋"/>
                <w:color w:val="404040"/>
                <w:kern w:val="0"/>
                <w:sz w:val="24"/>
              </w:rPr>
              <w:t>合同规定，于</w:t>
            </w:r>
            <w:r>
              <w:rPr>
                <w:rFonts w:ascii="仿宋" w:hAnsi="仿宋" w:eastAsia="仿宋" w:cs="仿宋"/>
                <w:color w:val="404040"/>
                <w:sz w:val="24"/>
              </w:rPr>
              <w:t>2023年3月31日</w:t>
            </w:r>
            <w:r>
              <w:rPr>
                <w:rFonts w:hint="eastAsia" w:ascii="仿宋" w:hAnsi="仿宋" w:eastAsia="仿宋" w:cs="仿宋"/>
                <w:color w:val="404040"/>
                <w:kern w:val="0"/>
                <w:sz w:val="24"/>
              </w:rPr>
              <w:t>复核了本报告中的财务指标、净值表现和投资组合报告等内容，保证复核内容不存在虚假记载、误导性陈述或者重大遗漏。</w:t>
            </w:r>
          </w:p>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产品的过往业绩并不代表其未来表现。投资有风险，投资者在作出投资决策前应仔细阅读本</w:t>
            </w:r>
            <w:r>
              <w:rPr>
                <w:rFonts w:hint="eastAsia" w:ascii="仿宋" w:hAnsi="仿宋" w:eastAsia="仿宋" w:cs="仿宋"/>
                <w:color w:val="000000"/>
                <w:sz w:val="24"/>
              </w:rPr>
              <w:t>产品</w:t>
            </w:r>
            <w:r>
              <w:rPr>
                <w:rFonts w:hint="eastAsia" w:ascii="仿宋" w:hAnsi="仿宋" w:eastAsia="仿宋" w:cs="仿宋"/>
                <w:color w:val="404040"/>
                <w:kern w:val="0"/>
                <w:sz w:val="24"/>
              </w:rPr>
              <w:t>的产品说明书。</w:t>
            </w:r>
          </w:p>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本报告中财务资料未经审计。</w:t>
            </w:r>
          </w:p>
          <w:p>
            <w:pPr>
              <w:widowControl/>
              <w:adjustRightInd w:val="0"/>
              <w:snapToGrid w:val="0"/>
              <w:spacing w:line="420" w:lineRule="exact"/>
              <w:ind w:firstLine="480" w:firstLineChars="200"/>
              <w:jc w:val="left"/>
              <w:rPr>
                <w:rFonts w:ascii="仿宋" w:hAnsi="仿宋" w:eastAsia="仿宋" w:cs="仿宋"/>
                <w:sz w:val="24"/>
              </w:rPr>
            </w:pPr>
            <w:r>
              <w:rPr>
                <w:rFonts w:hint="eastAsia" w:ascii="仿宋" w:hAnsi="仿宋" w:eastAsia="仿宋" w:cs="仿宋"/>
                <w:color w:val="404040"/>
                <w:kern w:val="0"/>
                <w:sz w:val="24"/>
              </w:rPr>
              <w:t>本报告期自</w:t>
            </w:r>
            <w:r>
              <w:rPr>
                <w:rFonts w:ascii="仿宋" w:hAnsi="仿宋" w:eastAsia="仿宋" w:cs="仿宋"/>
                <w:color w:val="404040"/>
                <w:sz w:val="24"/>
              </w:rPr>
              <w:t>2023年1月1日</w:t>
            </w:r>
            <w:r>
              <w:rPr>
                <w:rFonts w:hint="eastAsia" w:ascii="仿宋" w:hAnsi="仿宋" w:eastAsia="仿宋" w:cs="仿宋"/>
                <w:color w:val="404040"/>
                <w:kern w:val="0"/>
                <w:sz w:val="24"/>
              </w:rPr>
              <w:t>起至</w:t>
            </w:r>
            <w:r>
              <w:rPr>
                <w:rFonts w:ascii="仿宋" w:hAnsi="仿宋" w:eastAsia="仿宋" w:cs="仿宋"/>
                <w:color w:val="404040"/>
                <w:sz w:val="24"/>
              </w:rPr>
              <w:t>2023年3月31日</w:t>
            </w:r>
            <w:r>
              <w:rPr>
                <w:rFonts w:hint="eastAsia" w:ascii="仿宋" w:hAnsi="仿宋" w:eastAsia="仿宋" w:cs="仿宋"/>
                <w:color w:val="404040"/>
                <w:kern w:val="0"/>
                <w:sz w:val="24"/>
              </w:rPr>
              <w:t>止。</w:t>
            </w:r>
          </w:p>
        </w:tc>
      </w:tr>
    </w:tbl>
    <w:p>
      <w:pPr>
        <w:rPr>
          <w:rStyle w:val="14"/>
          <w:rFonts w:ascii="仿宋" w:hAnsi="仿宋" w:eastAsia="仿宋" w:cs="仿宋"/>
          <w:color w:val="0000FF"/>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§2  产品概况</w:t>
      </w:r>
    </w:p>
    <w:p>
      <w:pPr>
        <w:adjustRightInd w:val="0"/>
        <w:snapToGrid w:val="0"/>
        <w:spacing w:line="440" w:lineRule="exact"/>
        <w:outlineLvl w:val="2"/>
        <w:rPr>
          <w:rFonts w:ascii="仿宋" w:hAnsi="仿宋" w:eastAsia="仿宋" w:cs="仿宋"/>
          <w:b/>
          <w:sz w:val="24"/>
        </w:rPr>
      </w:pPr>
      <w:bookmarkStart w:id="0" w:name="_Toc354129567"/>
      <w:r>
        <w:rPr>
          <w:rFonts w:hint="eastAsia" w:ascii="仿宋" w:hAnsi="仿宋" w:eastAsia="仿宋" w:cs="仿宋"/>
          <w:b/>
          <w:sz w:val="24"/>
        </w:rPr>
        <w:t>2.1 产品基本情况</w:t>
      </w:r>
      <w:bookmarkEnd w:id="0"/>
    </w:p>
    <w:tbl>
      <w:tblPr>
        <w:tblStyle w:val="10"/>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5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产品名称</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杭银理财幸福99添益90天周期型理财计划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产品代码</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TYG90D2101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理财信息登记系统登记编码</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Z7002221000108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产品成立日</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2021年8月5日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产品到期日</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产品募集方式</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产品运作模式</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产品投资性质</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业绩比较基准（%）</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3.20%-4.20%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报告期末产品规模（元）</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8,622,899,395.13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杠杆水平（%）</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100.10%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风险等级</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产品管理人</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杭银理财有限责任公司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产品托管人</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杭州银行股份有限公司</w:t>
            </w:r>
          </w:p>
        </w:tc>
      </w:tr>
    </w:tbl>
    <w:p>
      <w:pPr>
        <w:adjustRightInd w:val="0"/>
        <w:snapToGrid w:val="0"/>
        <w:spacing w:line="360" w:lineRule="exact"/>
        <w:rPr>
          <w:rFonts w:ascii="仿宋" w:hAnsi="仿宋" w:eastAsia="仿宋" w:cs="仿宋"/>
          <w:sz w:val="24"/>
        </w:rPr>
      </w:pPr>
      <w:r>
        <w:rPr>
          <w:rFonts w:hint="eastAsia" w:ascii="仿宋" w:hAnsi="仿宋" w:eastAsia="仿宋" w:cs="仿宋"/>
          <w:sz w:val="24"/>
        </w:rPr>
        <w:t>*杠杆水平=总资产/理财产品净资产，理财产品净资产=总资产-总负债</w:t>
      </w:r>
    </w:p>
    <w:p>
      <w:pPr>
        <w:adjustRightInd w:val="0"/>
        <w:snapToGrid w:val="0"/>
        <w:spacing w:line="360" w:lineRule="exact"/>
        <w:rPr>
          <w:rFonts w:ascii="仿宋" w:hAnsi="仿宋" w:eastAsia="仿宋" w:cs="仿宋"/>
          <w:color w:val="000000"/>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§3  主要财务指标和产品净值表现</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3.1 主要财务指标和产品净值表现</w:t>
      </w:r>
    </w:p>
    <w:p>
      <w:pPr>
        <w:adjustRightInd w:val="0"/>
        <w:snapToGrid w:val="0"/>
        <w:spacing w:line="440" w:lineRule="exact"/>
        <w:jc w:val="right"/>
        <w:rPr>
          <w:rFonts w:ascii="仿宋" w:hAnsi="仿宋" w:eastAsia="仿宋" w:cs="仿宋"/>
          <w:sz w:val="24"/>
        </w:rPr>
      </w:pPr>
      <w:r>
        <w:rPr>
          <w:rFonts w:hint="eastAsia" w:ascii="仿宋" w:hAnsi="仿宋" w:eastAsia="仿宋" w:cs="仿宋"/>
          <w:sz w:val="24"/>
        </w:rPr>
        <w:t>单位：元、份、元/份</w:t>
      </w:r>
    </w:p>
    <w:tbl>
      <w:tblPr>
        <w:tblStyle w:val="10"/>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418"/>
        <w:gridCol w:w="585"/>
        <w:gridCol w:w="407"/>
        <w:gridCol w:w="992"/>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sz w:val="24"/>
              </w:rPr>
              <w:t>主要财务指标</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报告期</w:t>
            </w:r>
          </w:p>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sz w:val="24"/>
              </w:rPr>
              <w:t>2023年1月1日</w:t>
            </w:r>
            <w:r>
              <w:rPr>
                <w:rFonts w:hint="eastAsia" w:ascii="仿宋" w:hAnsi="仿宋" w:eastAsia="仿宋" w:cs="仿宋"/>
                <w:color w:val="000000"/>
                <w:kern w:val="0"/>
                <w:sz w:val="24"/>
              </w:rPr>
              <w:t>-</w:t>
            </w:r>
            <w:r>
              <w:rPr>
                <w:rFonts w:ascii="仿宋" w:hAnsi="仿宋" w:eastAsia="仿宋" w:cs="仿宋"/>
                <w:color w:val="000000"/>
                <w:sz w:val="24"/>
              </w:rPr>
              <w:t>2023年3月31日</w:t>
            </w:r>
            <w:r>
              <w:rPr>
                <w:rFonts w:hint="eastAsia" w:ascii="仿宋" w:hAnsi="仿宋" w:eastAsia="仿宋" w:cs="仿宋"/>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Style w:val="14"/>
                <w:rFonts w:ascii="仿宋" w:hAnsi="仿宋" w:eastAsia="仿宋" w:cs="仿宋"/>
                <w:sz w:val="24"/>
              </w:rPr>
            </w:pPr>
            <w:r>
              <w:rPr>
                <w:rFonts w:hint="eastAsia" w:ascii="仿宋" w:hAnsi="仿宋" w:eastAsia="仿宋" w:cs="仿宋"/>
                <w:sz w:val="24"/>
              </w:rPr>
              <w:t>1.期末产品资产净值</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sz w:val="24"/>
              </w:rPr>
            </w:pPr>
            <w:r>
              <w:rPr>
                <w:rFonts w:hint="eastAsia" w:ascii="仿宋" w:hAnsi="仿宋" w:eastAsia="仿宋" w:cs="仿宋"/>
                <w:kern w:val="0"/>
                <w:sz w:val="24"/>
              </w:rPr>
              <w:t>8,622,899,395.13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仿宋"/>
                <w:sz w:val="24"/>
              </w:rPr>
            </w:pPr>
            <w:r>
              <w:rPr>
                <w:rFonts w:hint="eastAsia" w:ascii="仿宋" w:hAnsi="仿宋" w:eastAsia="仿宋" w:cs="仿宋"/>
                <w:sz w:val="24"/>
              </w:rPr>
              <w:t>2.期末产品总份额</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kern w:val="0"/>
                <w:sz w:val="24"/>
              </w:rPr>
            </w:pPr>
            <w:r>
              <w:rPr>
                <w:rFonts w:hint="eastAsia" w:ascii="仿宋" w:hAnsi="仿宋" w:eastAsia="仿宋" w:cs="仿宋"/>
                <w:kern w:val="0"/>
                <w:sz w:val="24"/>
              </w:rPr>
              <w:t>8,140,354,574.33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Style w:val="14"/>
                <w:rFonts w:ascii="仿宋" w:hAnsi="仿宋" w:eastAsia="仿宋" w:cs="仿宋"/>
                <w:sz w:val="24"/>
              </w:rPr>
            </w:pPr>
            <w:r>
              <w:rPr>
                <w:rFonts w:hint="eastAsia" w:ascii="仿宋" w:hAnsi="仿宋" w:eastAsia="仿宋" w:cs="仿宋"/>
                <w:sz w:val="24"/>
              </w:rPr>
              <w:t>3.期末产品份额单位净值</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sz w:val="24"/>
              </w:rPr>
            </w:pPr>
            <w:r>
              <w:rPr>
                <w:rFonts w:hint="eastAsia" w:ascii="仿宋" w:hAnsi="仿宋" w:eastAsia="仿宋" w:cs="仿宋"/>
                <w:kern w:val="0"/>
                <w:sz w:val="24"/>
              </w:rPr>
              <w:t>1.0592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Style w:val="14"/>
                <w:rFonts w:ascii="仿宋" w:hAnsi="仿宋" w:eastAsia="仿宋" w:cs="仿宋"/>
                <w:sz w:val="24"/>
              </w:rPr>
            </w:pPr>
            <w:r>
              <w:rPr>
                <w:rFonts w:hint="eastAsia" w:ascii="仿宋" w:hAnsi="仿宋" w:eastAsia="仿宋" w:cs="仿宋"/>
                <w:sz w:val="24"/>
              </w:rPr>
              <w:t>4.期末产品份额累计净值</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sz w:val="24"/>
              </w:rPr>
            </w:pPr>
            <w:r>
              <w:rPr>
                <w:rFonts w:hint="eastAsia" w:ascii="仿宋" w:hAnsi="仿宋" w:eastAsia="仿宋" w:cs="仿宋"/>
                <w:kern w:val="0"/>
                <w:sz w:val="24"/>
              </w:rPr>
              <w:t>1.0592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128"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FF"/>
                <w:sz w:val="24"/>
              </w:rPr>
            </w:pPr>
            <w:r>
              <w:rPr>
                <w:rFonts w:hint="eastAsia" w:ascii="仿宋" w:hAnsi="仿宋" w:eastAsia="仿宋" w:cs="仿宋"/>
                <w:kern w:val="0"/>
                <w:sz w:val="24"/>
              </w:rPr>
              <w:t>报告期末下属子产品相关信息披露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子产品名称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子产品代码</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份额</w:t>
            </w:r>
          </w:p>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净值</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份额累计净值</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资产净值</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3.</w:t>
      </w:r>
      <w:r>
        <w:rPr>
          <w:rFonts w:ascii="仿宋" w:hAnsi="仿宋" w:eastAsia="仿宋" w:cs="仿宋"/>
          <w:b/>
          <w:sz w:val="24"/>
        </w:rPr>
        <w:t>2</w:t>
      </w:r>
      <w:r>
        <w:rPr>
          <w:rFonts w:hint="eastAsia" w:ascii="仿宋" w:hAnsi="仿宋" w:eastAsia="仿宋" w:cs="仿宋"/>
          <w:b/>
          <w:sz w:val="24"/>
        </w:rPr>
        <w:t xml:space="preserve"> 产品收益表现</w:t>
      </w:r>
    </w:p>
    <w:tbl>
      <w:tblPr>
        <w:tblStyle w:val="10"/>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产品名称</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成立以来年化收益率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color w:val="000000"/>
                <w:kern w:val="0"/>
                <w:sz w:val="24"/>
              </w:rPr>
            </w:pPr>
            <w:r>
              <w:rPr>
                <w:rFonts w:hint="eastAsia" w:ascii="仿宋" w:hAnsi="仿宋" w:eastAsia="仿宋" w:cs="仿宋"/>
                <w:kern w:val="0"/>
                <w:sz w:val="24"/>
              </w:rPr>
              <w:t>添益90天周期型</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3.58%</w:t>
            </w:r>
            <w:bookmarkStart w:id="2" w:name="_GoBack"/>
            <w:bookmarkEnd w:id="2"/>
          </w:p>
        </w:tc>
      </w:tr>
    </w:tbl>
    <w:p>
      <w:pPr>
        <w:adjustRightInd w:val="0"/>
        <w:snapToGrid w:val="0"/>
        <w:rPr>
          <w:rFonts w:ascii="仿宋" w:hAnsi="仿宋" w:eastAsia="仿宋" w:cs="仿宋"/>
          <w:color w:val="404040"/>
          <w:kern w:val="0"/>
          <w:sz w:val="24"/>
        </w:rPr>
      </w:pPr>
    </w:p>
    <w:p>
      <w:pPr>
        <w:adjustRightInd w:val="0"/>
        <w:snapToGrid w:val="0"/>
        <w:rPr>
          <w:rFonts w:hint="eastAsia" w:ascii="仿宋" w:hAnsi="仿宋" w:eastAsia="仿宋" w:cs="仿宋"/>
          <w:color w:val="404040"/>
          <w:kern w:val="0"/>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§4  投资组合报告</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4.1 报告期内产品投资策略回顾</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一季度收益率表现不同品种差异较大，信用债整体表现好于利率债和同业存单，受到去年四季度的冲击行情后，信用债在一季度还是利差修复为主的行情，在去年12月份下旬高等级信用债信用利差快速修复后，一季度中低评级信用债的信用利差也开始修复，整体呈现收益率下行为主的行情。而利率债和同业存单，受到一季度贷款高预期、经济基本面预期反复的影响，整体呈现震荡行情。</w:t>
      </w:r>
      <w:r>
        <w:rPr>
          <w:rFonts w:hint="eastAsia" w:ascii="仿宋" w:hAnsi="仿宋" w:eastAsia="仿宋" w:cs="仿宋"/>
          <w:sz w:val="24"/>
        </w:rPr>
        <w:cr/>
      </w:r>
      <w:r>
        <w:rPr>
          <w:rFonts w:hint="eastAsia" w:ascii="仿宋" w:hAnsi="仿宋" w:eastAsia="仿宋" w:cs="仿宋"/>
          <w:sz w:val="24"/>
        </w:rPr>
        <w:t>债券市场方面；10年国债收益率最高触及2.92%，1年期国股同业存单最高升至2.75%，分别与去年12月份高点持平；二永债和私募信用债也因为市场流动性改善，呈现整体的下行趋势。</w:t>
      </w:r>
      <w:r>
        <w:rPr>
          <w:rFonts w:hint="eastAsia" w:ascii="仿宋" w:hAnsi="仿宋" w:eastAsia="仿宋" w:cs="仿宋"/>
          <w:sz w:val="24"/>
        </w:rPr>
        <w:cr/>
      </w:r>
      <w:r>
        <w:rPr>
          <w:rFonts w:hint="eastAsia" w:ascii="仿宋" w:hAnsi="仿宋" w:eastAsia="仿宋" w:cs="仿宋"/>
          <w:sz w:val="24"/>
        </w:rPr>
        <w:t xml:space="preserve">    资金方面：一季度央行公开市场微量净投放820亿元，降准释放了接近6000-7000亿的资金，整体较去年四季度变化不大。银行间资金价格较去年四季度相比整体上行，R007均值2.35%，较上年四季度季度均值上行31bp。</w:t>
      </w:r>
      <w:r>
        <w:rPr>
          <w:rFonts w:hint="eastAsia" w:ascii="仿宋" w:hAnsi="仿宋" w:eastAsia="仿宋" w:cs="仿宋"/>
          <w:sz w:val="24"/>
        </w:rPr>
        <w:cr/>
      </w:r>
      <w:r>
        <w:rPr>
          <w:rFonts w:hint="eastAsia" w:ascii="仿宋" w:hAnsi="仿宋" w:eastAsia="仿宋" w:cs="仿宋"/>
          <w:sz w:val="24"/>
        </w:rPr>
        <w:t>本产品主要配置固收类资产，债券部分以信用债为主，受益于一季度信用债收益率大幅下行，通过杠杆策略和久期策略，产品净值收益表现较好。</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4.2产品未来展望</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展望2023年2季度，从基本面来看，无论从经济高频数据还是前瞻性数据来看，经济逐步复苏的态势仍在延续，从票据利率看银行信贷投放依然积极，消费、地产投资增速仍在修复过程中；从政策面来看，3月央行降准显示对银行间资金面市场的呵护，市场利率大概率围绕政策利率波动，短端债券收益率上行的空间有限。整体来说，经济弱复苏延续，货币政策保持相对宽松，债市流动性环境相对友好，后续理财规模增长情况、出口回落速度、货币政策是否会进一步宽松等将是影响2季度债市的重要变量。我们预期2季度债券收益率整体小幅波动。策略上，保持一定杠杆比例，适时把握阶段性的交易机会。</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4.3投资组合的流动性风险分析</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4.4 报告期末穿透前投资组合分类</w:t>
      </w:r>
    </w:p>
    <w:tbl>
      <w:tblPr>
        <w:tblStyle w:val="10"/>
        <w:tblW w:w="9019" w:type="dxa"/>
        <w:tblInd w:w="-5" w:type="dxa"/>
        <w:tblLayout w:type="fixed"/>
        <w:tblCellMar>
          <w:top w:w="0" w:type="dxa"/>
          <w:left w:w="0" w:type="dxa"/>
          <w:bottom w:w="0" w:type="dxa"/>
          <w:right w:w="0" w:type="dxa"/>
        </w:tblCellMar>
      </w:tblPr>
      <w:tblGrid>
        <w:gridCol w:w="572"/>
        <w:gridCol w:w="5614"/>
        <w:gridCol w:w="2833"/>
      </w:tblGrid>
      <w:tr>
        <w:tblPrEx>
          <w:tblLayout w:type="fixed"/>
          <w:tblCellMar>
            <w:top w:w="0" w:type="dxa"/>
            <w:left w:w="0" w:type="dxa"/>
            <w:bottom w:w="0" w:type="dxa"/>
            <w:right w:w="0" w:type="dxa"/>
          </w:tblCellMar>
        </w:tblPrEx>
        <w:trPr>
          <w:trHeight w:val="415"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5614"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项目</w:t>
            </w:r>
          </w:p>
        </w:tc>
        <w:tc>
          <w:tcPr>
            <w:tcW w:w="2833"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期末占总资产比例（％）</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现金及银行存款</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0.12%</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同业存单</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拆放同业及债券买入返售</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2.09%</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4</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债券</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50.59%</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5</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非标准化债权类资产</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6</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权益类投资</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7</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金融衍生品</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8</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代客境外理财投资QDII</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9</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商品类资产</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10</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另类资产</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11</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公募基金</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12</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私募基金</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13</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资产管理产品</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47.20%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14</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委外投资——协议方式</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15</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合计</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100.00%</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4.5 报告期末穿透后投资组合分类</w:t>
      </w:r>
    </w:p>
    <w:tbl>
      <w:tblPr>
        <w:tblStyle w:val="10"/>
        <w:tblW w:w="9019" w:type="dxa"/>
        <w:tblInd w:w="-5" w:type="dxa"/>
        <w:tblLayout w:type="fixed"/>
        <w:tblCellMar>
          <w:top w:w="0" w:type="dxa"/>
          <w:left w:w="0" w:type="dxa"/>
          <w:bottom w:w="0" w:type="dxa"/>
          <w:right w:w="0" w:type="dxa"/>
        </w:tblCellMar>
      </w:tblPr>
      <w:tblGrid>
        <w:gridCol w:w="572"/>
        <w:gridCol w:w="5647"/>
        <w:gridCol w:w="2800"/>
      </w:tblGrid>
      <w:tr>
        <w:tblPrEx>
          <w:tblLayout w:type="fixed"/>
          <w:tblCellMar>
            <w:top w:w="0" w:type="dxa"/>
            <w:left w:w="0" w:type="dxa"/>
            <w:bottom w:w="0" w:type="dxa"/>
            <w:right w:w="0" w:type="dxa"/>
          </w:tblCellMar>
        </w:tblPrEx>
        <w:trPr>
          <w:trHeight w:val="415" w:hRule="atLeast"/>
        </w:trPr>
        <w:tc>
          <w:tcPr>
            <w:tcW w:w="5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564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highlight w:val="yellow"/>
              </w:rPr>
            </w:pPr>
            <w:r>
              <w:rPr>
                <w:rFonts w:hint="eastAsia" w:ascii="仿宋" w:hAnsi="仿宋" w:eastAsia="仿宋" w:cs="仿宋"/>
                <w:sz w:val="24"/>
              </w:rPr>
              <w:t>项目</w:t>
            </w:r>
          </w:p>
        </w:tc>
        <w:tc>
          <w:tcPr>
            <w:tcW w:w="280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期末占总资产比例（％）</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现金及银行存款</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0.63%</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2</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同业存单</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3</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拆放同业及债券买入返售</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3.27%</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4</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债券</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96.10%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5</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非标准化债权类资产</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6</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权益类投资</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7</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金融衍生品</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8</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代客境外理财投资QDII</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9</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商品类资产</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10</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另类资产</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11</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公募基金</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12</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私募基金</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13</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资产管理产品</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14</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委外投资——协议方式</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15</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合计</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100.00%</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4.6报告期末投资前十名资产明细</w:t>
      </w:r>
    </w:p>
    <w:p>
      <w:pPr>
        <w:adjustRightInd w:val="0"/>
        <w:snapToGrid w:val="0"/>
        <w:spacing w:line="440" w:lineRule="exact"/>
        <w:ind w:firstLine="6240" w:firstLineChars="2600"/>
        <w:jc w:val="right"/>
        <w:rPr>
          <w:rFonts w:ascii="仿宋" w:hAnsi="仿宋" w:eastAsia="仿宋" w:cs="仿宋"/>
          <w:sz w:val="24"/>
        </w:rPr>
      </w:pPr>
      <w:r>
        <w:rPr>
          <w:rFonts w:hint="eastAsia" w:ascii="仿宋" w:hAnsi="仿宋" w:eastAsia="仿宋" w:cs="仿宋"/>
          <w:sz w:val="24"/>
        </w:rPr>
        <w:t>单位：人民币元</w:t>
      </w:r>
    </w:p>
    <w:tbl>
      <w:tblPr>
        <w:tblStyle w:val="10"/>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3772"/>
        <w:gridCol w:w="2340"/>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资产名称</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金额（元）</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占资产净值比例（％）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华润信托钱盈1号集合资金信托计划</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4,074,736,498.66</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47.25%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21淮开03</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196,259,849.31</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23富开D1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190,457,690.41</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4</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21农发清发03</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152,805,082.19</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5</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18国开11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114,240,439.73</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6</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20诸东01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103,309,315.07</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7</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20国开07</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102,217,945.21</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8</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23蓉城文化SCP001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100,319,041.10</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9</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21徐州兴铜PPN001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93,684,698.63</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23海控D1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90,166,315.07</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1.05%</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4.7 报告期融资情况</w:t>
      </w:r>
    </w:p>
    <w:p>
      <w:pPr>
        <w:adjustRightInd w:val="0"/>
        <w:snapToGrid w:val="0"/>
        <w:spacing w:line="440" w:lineRule="exact"/>
        <w:ind w:firstLine="6240" w:firstLineChars="2600"/>
        <w:jc w:val="right"/>
        <w:rPr>
          <w:rFonts w:ascii="仿宋" w:hAnsi="仿宋" w:eastAsia="仿宋" w:cs="仿宋"/>
          <w:sz w:val="24"/>
        </w:rPr>
      </w:pPr>
      <w:r>
        <w:rPr>
          <w:rFonts w:hint="eastAsia" w:ascii="仿宋" w:hAnsi="仿宋" w:eastAsia="仿宋" w:cs="仿宋"/>
          <w:sz w:val="24"/>
        </w:rPr>
        <w:t>单位：人民币元</w:t>
      </w:r>
    </w:p>
    <w:tbl>
      <w:tblPr>
        <w:tblStyle w:val="10"/>
        <w:tblW w:w="8999" w:type="dxa"/>
        <w:tblInd w:w="-5" w:type="dxa"/>
        <w:tblLayout w:type="fixed"/>
        <w:tblCellMar>
          <w:top w:w="0" w:type="dxa"/>
          <w:left w:w="30" w:type="dxa"/>
          <w:bottom w:w="0" w:type="dxa"/>
          <w:right w:w="30" w:type="dxa"/>
        </w:tblCellMar>
      </w:tblPr>
      <w:tblGrid>
        <w:gridCol w:w="632"/>
        <w:gridCol w:w="3167"/>
        <w:gridCol w:w="2433"/>
        <w:gridCol w:w="2767"/>
      </w:tblGrid>
      <w:tr>
        <w:tblPrEx>
          <w:tblLayout w:type="fixed"/>
          <w:tblCellMar>
            <w:top w:w="0" w:type="dxa"/>
            <w:left w:w="30" w:type="dxa"/>
            <w:bottom w:w="0" w:type="dxa"/>
            <w:right w:w="30" w:type="dxa"/>
          </w:tblCellMar>
        </w:tblPrEx>
        <w:trPr>
          <w:trHeight w:val="37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316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项目</w:t>
            </w:r>
          </w:p>
        </w:tc>
        <w:tc>
          <w:tcPr>
            <w:tcW w:w="243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金额（元）</w:t>
            </w:r>
          </w:p>
        </w:tc>
        <w:tc>
          <w:tcPr>
            <w:tcW w:w="276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占资产净值比例（％）</w:t>
            </w:r>
          </w:p>
        </w:tc>
      </w:tr>
      <w:tr>
        <w:tblPrEx>
          <w:tblLayout w:type="fixed"/>
          <w:tblCellMar>
            <w:top w:w="0" w:type="dxa"/>
            <w:left w:w="30" w:type="dxa"/>
            <w:bottom w:w="0" w:type="dxa"/>
            <w:right w:w="30" w:type="dxa"/>
          </w:tblCellMar>
        </w:tblPrEx>
        <w:trPr>
          <w:trHeight w:val="29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31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报告期末质押式回购余额</w:t>
            </w:r>
          </w:p>
        </w:tc>
        <w:tc>
          <w:tcPr>
            <w:tcW w:w="24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c>
          <w:tcPr>
            <w:tcW w:w="2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r>
      <w:tr>
        <w:tblPrEx>
          <w:tblLayout w:type="fixed"/>
          <w:tblCellMar>
            <w:top w:w="0" w:type="dxa"/>
            <w:left w:w="30" w:type="dxa"/>
            <w:bottom w:w="0" w:type="dxa"/>
            <w:right w:w="30" w:type="dxa"/>
          </w:tblCellMar>
        </w:tblPrEx>
        <w:trPr>
          <w:trHeight w:val="29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31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报告期末同业拆入余额</w:t>
            </w:r>
          </w:p>
        </w:tc>
        <w:tc>
          <w:tcPr>
            <w:tcW w:w="24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c>
          <w:tcPr>
            <w:tcW w:w="2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r>
      <w:tr>
        <w:tblPrEx>
          <w:tblLayout w:type="fixed"/>
          <w:tblCellMar>
            <w:top w:w="0" w:type="dxa"/>
            <w:left w:w="30" w:type="dxa"/>
            <w:bottom w:w="0" w:type="dxa"/>
            <w:right w:w="30" w:type="dxa"/>
          </w:tblCellMar>
        </w:tblPrEx>
        <w:trPr>
          <w:trHeight w:val="29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31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其他</w:t>
            </w:r>
          </w:p>
        </w:tc>
        <w:tc>
          <w:tcPr>
            <w:tcW w:w="24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c>
          <w:tcPr>
            <w:tcW w:w="2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r>
    </w:tbl>
    <w:p>
      <w:pPr>
        <w:adjustRightInd w:val="0"/>
        <w:snapToGrid w:val="0"/>
        <w:spacing w:line="440" w:lineRule="exact"/>
        <w:outlineLvl w:val="2"/>
        <w:rPr>
          <w:rFonts w:ascii="仿宋" w:hAnsi="仿宋" w:eastAsia="仿宋" w:cs="仿宋"/>
          <w:b/>
          <w:sz w:val="24"/>
        </w:rPr>
      </w:pPr>
      <w:bookmarkStart w:id="1" w:name="_Toc481074947"/>
      <w:r>
        <w:rPr>
          <w:rFonts w:hint="eastAsia" w:ascii="仿宋" w:hAnsi="仿宋" w:eastAsia="仿宋" w:cs="仿宋"/>
          <w:b/>
          <w:sz w:val="24"/>
        </w:rPr>
        <w:t>4.8报告期末投资非标准化债权资产</w:t>
      </w:r>
      <w:bookmarkEnd w:id="1"/>
      <w:r>
        <w:rPr>
          <w:rFonts w:hint="eastAsia" w:ascii="仿宋" w:hAnsi="仿宋" w:eastAsia="仿宋" w:cs="仿宋"/>
          <w:b/>
          <w:sz w:val="24"/>
        </w:rPr>
        <w:t>情况</w:t>
      </w:r>
    </w:p>
    <w:p>
      <w:pPr>
        <w:adjustRightInd w:val="0"/>
        <w:snapToGrid w:val="0"/>
        <w:spacing w:line="380" w:lineRule="exact"/>
        <w:ind w:firstLine="6720" w:firstLineChars="2800"/>
        <w:rPr>
          <w:rFonts w:ascii="仿宋" w:hAnsi="仿宋" w:eastAsia="仿宋" w:cs="仿宋"/>
          <w:sz w:val="24"/>
        </w:rPr>
      </w:pPr>
      <w:r>
        <w:rPr>
          <w:rFonts w:hint="eastAsia" w:ascii="仿宋" w:hAnsi="仿宋" w:eastAsia="仿宋" w:cs="仿宋"/>
          <w:sz w:val="24"/>
        </w:rPr>
        <w:t>单位：人民币元</w:t>
      </w:r>
    </w:p>
    <w:tbl>
      <w:tblPr>
        <w:tblStyle w:val="10"/>
        <w:tblW w:w="8994"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330"/>
        <w:gridCol w:w="1569"/>
        <w:gridCol w:w="1041"/>
        <w:gridCol w:w="1833"/>
        <w:gridCol w:w="802"/>
        <w:gridCol w:w="970"/>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 xml:space="preserve">序号 </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融资客户</w:t>
            </w:r>
          </w:p>
        </w:tc>
        <w:tc>
          <w:tcPr>
            <w:tcW w:w="15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项目名称</w:t>
            </w: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资产到期日</w:t>
            </w:r>
          </w:p>
        </w:tc>
        <w:tc>
          <w:tcPr>
            <w:tcW w:w="18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资产价值（元）</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交易结构</w:t>
            </w: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color w:val="FF0000"/>
                <w:sz w:val="24"/>
              </w:rPr>
            </w:pPr>
            <w:r>
              <w:rPr>
                <w:rFonts w:hint="eastAsia" w:ascii="仿宋" w:hAnsi="仿宋" w:eastAsia="仿宋" w:cs="仿宋"/>
                <w:sz w:val="24"/>
              </w:rPr>
              <w:t>收益分配方式</w:t>
            </w:r>
          </w:p>
        </w:tc>
        <w:tc>
          <w:tcPr>
            <w:tcW w:w="8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风险状况</w:t>
            </w:r>
          </w:p>
        </w:tc>
      </w:tr>
    </w:tbl>
    <w:p>
      <w:pPr>
        <w:adjustRightInd w:val="0"/>
        <w:snapToGrid w:val="0"/>
        <w:spacing w:line="380" w:lineRule="exact"/>
        <w:rPr>
          <w:rFonts w:ascii="仿宋" w:hAnsi="仿宋" w:eastAsia="仿宋" w:cs="仿宋"/>
          <w:color w:val="0000FF"/>
          <w:kern w:val="0"/>
          <w:sz w:val="24"/>
          <w:highlight w:val="yellow"/>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§5  产品份额变动</w:t>
      </w:r>
    </w:p>
    <w:p>
      <w:pPr>
        <w:adjustRightInd w:val="0"/>
        <w:snapToGrid w:val="0"/>
        <w:spacing w:line="440" w:lineRule="exact"/>
        <w:ind w:firstLine="6240" w:firstLineChars="2600"/>
        <w:jc w:val="right"/>
        <w:rPr>
          <w:rFonts w:ascii="仿宋" w:hAnsi="仿宋" w:eastAsia="仿宋" w:cs="仿宋"/>
          <w:sz w:val="24"/>
        </w:rPr>
      </w:pPr>
      <w:r>
        <w:rPr>
          <w:rFonts w:hint="eastAsia" w:ascii="仿宋" w:hAnsi="仿宋" w:eastAsia="仿宋" w:cs="仿宋"/>
          <w:sz w:val="24"/>
        </w:rPr>
        <w:t>单位：份</w:t>
      </w:r>
    </w:p>
    <w:tbl>
      <w:tblPr>
        <w:tblStyle w:val="10"/>
        <w:tblW w:w="8987"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1"/>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仿宋"/>
                <w:color w:val="000000"/>
                <w:sz w:val="24"/>
              </w:rPr>
            </w:pPr>
            <w:r>
              <w:rPr>
                <w:rFonts w:hint="eastAsia" w:ascii="仿宋" w:hAnsi="仿宋" w:eastAsia="仿宋" w:cs="仿宋"/>
                <w:color w:val="000000"/>
                <w:sz w:val="24"/>
              </w:rPr>
              <w:t>报告期期初产品份额总额</w:t>
            </w:r>
          </w:p>
        </w:tc>
        <w:tc>
          <w:tcPr>
            <w:tcW w:w="4596" w:type="dxa"/>
            <w:tcBorders>
              <w:top w:val="single" w:color="auto" w:sz="4" w:space="0"/>
              <w:left w:val="single" w:color="auto" w:sz="4" w:space="0"/>
              <w:bottom w:val="single" w:color="auto" w:sz="4" w:space="0"/>
              <w:right w:val="single" w:color="auto" w:sz="4" w:space="0"/>
            </w:tcBorders>
          </w:tcPr>
          <w:p>
            <w:pPr>
              <w:adjustRightInd w:val="0"/>
              <w:snapToGrid w:val="0"/>
              <w:jc w:val="right"/>
              <w:rPr>
                <w:rFonts w:ascii="仿宋" w:hAnsi="仿宋" w:eastAsia="仿宋" w:cs="仿宋"/>
                <w:color w:val="000000"/>
                <w:sz w:val="24"/>
              </w:rPr>
            </w:pPr>
            <w:r>
              <w:rPr>
                <w:rFonts w:hint="eastAsia" w:ascii="仿宋" w:hAnsi="仿宋" w:eastAsia="仿宋" w:cs="仿宋"/>
                <w:color w:val="000000"/>
                <w:sz w:val="24"/>
              </w:rPr>
              <w:t>9,295,751,065.23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仿宋"/>
                <w:color w:val="000000"/>
                <w:sz w:val="24"/>
              </w:rPr>
            </w:pPr>
            <w:r>
              <w:rPr>
                <w:rFonts w:hint="eastAsia" w:ascii="仿宋" w:hAnsi="仿宋" w:eastAsia="仿宋" w:cs="仿宋"/>
                <w:color w:val="000000"/>
                <w:sz w:val="24"/>
              </w:rPr>
              <w:t>报告期期末产品份额总额</w:t>
            </w:r>
          </w:p>
        </w:tc>
        <w:tc>
          <w:tcPr>
            <w:tcW w:w="4596" w:type="dxa"/>
            <w:tcBorders>
              <w:top w:val="single" w:color="auto" w:sz="4" w:space="0"/>
              <w:left w:val="single" w:color="auto" w:sz="4" w:space="0"/>
              <w:bottom w:val="single" w:color="auto" w:sz="4" w:space="0"/>
              <w:right w:val="single" w:color="auto" w:sz="4" w:space="0"/>
            </w:tcBorders>
          </w:tcPr>
          <w:p>
            <w:pPr>
              <w:adjustRightInd w:val="0"/>
              <w:snapToGrid w:val="0"/>
              <w:jc w:val="right"/>
              <w:rPr>
                <w:rFonts w:ascii="仿宋" w:hAnsi="仿宋" w:eastAsia="仿宋" w:cs="仿宋"/>
                <w:color w:val="000000"/>
                <w:sz w:val="24"/>
              </w:rPr>
            </w:pPr>
            <w:r>
              <w:rPr>
                <w:rFonts w:hint="eastAsia" w:ascii="仿宋" w:hAnsi="仿宋" w:eastAsia="仿宋" w:cs="仿宋"/>
                <w:color w:val="000000"/>
                <w:sz w:val="24"/>
              </w:rPr>
              <w:t>8,140,354,574.33</w:t>
            </w:r>
          </w:p>
        </w:tc>
      </w:tr>
    </w:tbl>
    <w:p>
      <w:pPr>
        <w:widowControl/>
        <w:adjustRightInd w:val="0"/>
        <w:snapToGrid w:val="0"/>
        <w:jc w:val="left"/>
        <w:rPr>
          <w:rFonts w:ascii="仿宋" w:hAnsi="仿宋" w:eastAsia="仿宋" w:cs="仿宋"/>
          <w:color w:val="404040"/>
          <w:kern w:val="0"/>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§6 托管人报告</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本托管人复核了本产品报告中的财务指标、净值表现和投资组合报告等内容。经复核，本产品报告中披露的理财产品财务数据核对一致。</w:t>
      </w:r>
    </w:p>
    <w:p>
      <w:pPr>
        <w:adjustRightInd w:val="0"/>
        <w:snapToGrid w:val="0"/>
        <w:rPr>
          <w:rFonts w:ascii="仿宋" w:hAnsi="仿宋" w:eastAsia="仿宋" w:cs="仿宋"/>
          <w:bCs/>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§7 报告期内关联交易情况</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7.1 产品投资于关联方发行或承销的证券、资产管理产品，或其他关联交易</w:t>
      </w:r>
    </w:p>
    <w:p>
      <w:pPr>
        <w:adjustRightInd w:val="0"/>
        <w:snapToGrid w:val="0"/>
        <w:spacing w:line="440" w:lineRule="exact"/>
        <w:ind w:firstLine="6240" w:firstLineChars="2600"/>
        <w:jc w:val="right"/>
        <w:rPr>
          <w:rFonts w:ascii="仿宋" w:hAnsi="仿宋" w:eastAsia="仿宋" w:cs="仿宋"/>
          <w:b/>
          <w:sz w:val="24"/>
        </w:rPr>
      </w:pPr>
      <w:r>
        <w:rPr>
          <w:rFonts w:hint="eastAsia" w:ascii="仿宋" w:hAnsi="仿宋" w:eastAsia="仿宋" w:cs="仿宋"/>
          <w:sz w:val="24"/>
        </w:rPr>
        <w:t>单位：元、份</w:t>
      </w:r>
    </w:p>
    <w:tbl>
      <w:tblPr>
        <w:tblStyle w:val="11"/>
        <w:tblW w:w="8994"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4"/>
        <w:gridCol w:w="1605"/>
        <w:gridCol w:w="1401"/>
        <w:gridCol w:w="791"/>
        <w:gridCol w:w="754"/>
        <w:gridCol w:w="1904"/>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3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序号</w:t>
            </w:r>
          </w:p>
        </w:tc>
        <w:tc>
          <w:tcPr>
            <w:tcW w:w="16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关联方</w:t>
            </w:r>
          </w:p>
        </w:tc>
        <w:tc>
          <w:tcPr>
            <w:tcW w:w="140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资产名称</w:t>
            </w:r>
          </w:p>
        </w:tc>
        <w:tc>
          <w:tcPr>
            <w:tcW w:w="79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资产类型</w:t>
            </w:r>
          </w:p>
        </w:tc>
        <w:tc>
          <w:tcPr>
            <w:tcW w:w="75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交易类型</w:t>
            </w:r>
          </w:p>
        </w:tc>
        <w:tc>
          <w:tcPr>
            <w:tcW w:w="190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交易金额（元）</w:t>
            </w:r>
          </w:p>
        </w:tc>
        <w:tc>
          <w:tcPr>
            <w:tcW w:w="19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份额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63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1</w:t>
            </w:r>
          </w:p>
        </w:tc>
        <w:tc>
          <w:tcPr>
            <w:tcW w:w="16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杭州银行股份有限公司</w:t>
            </w:r>
          </w:p>
        </w:tc>
        <w:tc>
          <w:tcPr>
            <w:tcW w:w="140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22伟驰PPN001</w:t>
            </w:r>
          </w:p>
        </w:tc>
        <w:tc>
          <w:tcPr>
            <w:tcW w:w="79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债券</w:t>
            </w:r>
          </w:p>
        </w:tc>
        <w:tc>
          <w:tcPr>
            <w:tcW w:w="75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卖出</w:t>
            </w:r>
          </w:p>
        </w:tc>
        <w:tc>
          <w:tcPr>
            <w:tcW w:w="190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20,892,339.45</w:t>
            </w:r>
          </w:p>
        </w:tc>
        <w:tc>
          <w:tcPr>
            <w:tcW w:w="19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63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w:t>
            </w:r>
          </w:p>
        </w:tc>
        <w:tc>
          <w:tcPr>
            <w:tcW w:w="16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杭州银行股份有限公司</w:t>
            </w:r>
          </w:p>
        </w:tc>
        <w:tc>
          <w:tcPr>
            <w:tcW w:w="140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22盛裕投资MTN002</w:t>
            </w:r>
          </w:p>
        </w:tc>
        <w:tc>
          <w:tcPr>
            <w:tcW w:w="79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债券</w:t>
            </w:r>
          </w:p>
        </w:tc>
        <w:tc>
          <w:tcPr>
            <w:tcW w:w="75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卖出</w:t>
            </w:r>
          </w:p>
        </w:tc>
        <w:tc>
          <w:tcPr>
            <w:tcW w:w="190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10,133,007.26</w:t>
            </w:r>
          </w:p>
        </w:tc>
        <w:tc>
          <w:tcPr>
            <w:tcW w:w="19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100,000.00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63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3</w:t>
            </w:r>
          </w:p>
        </w:tc>
        <w:tc>
          <w:tcPr>
            <w:tcW w:w="16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杭州银行股份有限公司</w:t>
            </w:r>
          </w:p>
        </w:tc>
        <w:tc>
          <w:tcPr>
            <w:tcW w:w="140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21振东新投PPN002</w:t>
            </w:r>
          </w:p>
        </w:tc>
        <w:tc>
          <w:tcPr>
            <w:tcW w:w="79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债券</w:t>
            </w:r>
          </w:p>
        </w:tc>
        <w:tc>
          <w:tcPr>
            <w:tcW w:w="75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卖出</w:t>
            </w:r>
          </w:p>
        </w:tc>
        <w:tc>
          <w:tcPr>
            <w:tcW w:w="190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20,349,236.16</w:t>
            </w:r>
          </w:p>
        </w:tc>
        <w:tc>
          <w:tcPr>
            <w:tcW w:w="19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63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4</w:t>
            </w:r>
          </w:p>
        </w:tc>
        <w:tc>
          <w:tcPr>
            <w:tcW w:w="16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杭州银行股份有限公司</w:t>
            </w:r>
          </w:p>
        </w:tc>
        <w:tc>
          <w:tcPr>
            <w:tcW w:w="140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22六合交通PPN001</w:t>
            </w:r>
          </w:p>
        </w:tc>
        <w:tc>
          <w:tcPr>
            <w:tcW w:w="79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债券</w:t>
            </w:r>
          </w:p>
        </w:tc>
        <w:tc>
          <w:tcPr>
            <w:tcW w:w="75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卖出</w:t>
            </w:r>
          </w:p>
        </w:tc>
        <w:tc>
          <w:tcPr>
            <w:tcW w:w="190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9,828,882.33</w:t>
            </w:r>
          </w:p>
        </w:tc>
        <w:tc>
          <w:tcPr>
            <w:tcW w:w="19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100,000.00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63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5</w:t>
            </w:r>
          </w:p>
        </w:tc>
        <w:tc>
          <w:tcPr>
            <w:tcW w:w="16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杭州银行股份有限公司</w:t>
            </w:r>
          </w:p>
        </w:tc>
        <w:tc>
          <w:tcPr>
            <w:tcW w:w="140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22江北新城PPN003</w:t>
            </w:r>
          </w:p>
        </w:tc>
        <w:tc>
          <w:tcPr>
            <w:tcW w:w="79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债券</w:t>
            </w:r>
          </w:p>
        </w:tc>
        <w:tc>
          <w:tcPr>
            <w:tcW w:w="75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卖出</w:t>
            </w:r>
          </w:p>
        </w:tc>
        <w:tc>
          <w:tcPr>
            <w:tcW w:w="190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10,123,999.32</w:t>
            </w:r>
          </w:p>
        </w:tc>
        <w:tc>
          <w:tcPr>
            <w:tcW w:w="19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100,000.00</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7.2 产品向关联方支付的费用</w:t>
      </w:r>
    </w:p>
    <w:tbl>
      <w:tblPr>
        <w:tblStyle w:val="11"/>
        <w:tblW w:w="8994"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2958"/>
        <w:gridCol w:w="2202"/>
        <w:gridCol w:w="3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4" w:type="dxa"/>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序号</w:t>
            </w:r>
          </w:p>
        </w:tc>
        <w:tc>
          <w:tcPr>
            <w:tcW w:w="2958"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关联方</w:t>
            </w:r>
          </w:p>
        </w:tc>
        <w:tc>
          <w:tcPr>
            <w:tcW w:w="2202"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费用类型</w:t>
            </w:r>
          </w:p>
        </w:tc>
        <w:tc>
          <w:tcPr>
            <w:tcW w:w="3140"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交易金额（元）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7" w:hRule="atLeast"/>
        </w:trPr>
        <w:tc>
          <w:tcPr>
            <w:tcW w:w="694" w:type="dxa"/>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1</w:t>
            </w:r>
          </w:p>
        </w:tc>
        <w:tc>
          <w:tcPr>
            <w:tcW w:w="2958"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杭州银行股份有限公司</w:t>
            </w:r>
          </w:p>
        </w:tc>
        <w:tc>
          <w:tcPr>
            <w:tcW w:w="2202"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托管费</w:t>
            </w:r>
          </w:p>
        </w:tc>
        <w:tc>
          <w:tcPr>
            <w:tcW w:w="3140"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788,658.13</w:t>
            </w:r>
          </w:p>
        </w:tc>
      </w:tr>
    </w:tbl>
    <w:p>
      <w:pPr>
        <w:widowControl/>
        <w:adjustRightInd w:val="0"/>
        <w:snapToGrid w:val="0"/>
        <w:ind w:firstLine="480" w:firstLineChars="200"/>
        <w:jc w:val="left"/>
        <w:rPr>
          <w:rFonts w:ascii="仿宋" w:hAnsi="仿宋" w:eastAsia="仿宋" w:cs="仿宋"/>
          <w:color w:val="404040"/>
          <w:kern w:val="0"/>
          <w:sz w:val="24"/>
        </w:rPr>
      </w:pPr>
    </w:p>
    <w:p>
      <w:pPr>
        <w:widowControl/>
        <w:adjustRightInd w:val="0"/>
        <w:snapToGrid w:val="0"/>
        <w:ind w:firstLine="480" w:firstLineChars="200"/>
        <w:jc w:val="left"/>
        <w:rPr>
          <w:rFonts w:ascii="仿宋" w:hAnsi="仿宋" w:eastAsia="仿宋" w:cs="仿宋"/>
          <w:color w:val="404040"/>
          <w:kern w:val="0"/>
          <w:sz w:val="24"/>
        </w:rPr>
      </w:pPr>
    </w:p>
    <w:p>
      <w:pPr>
        <w:ind w:left="360"/>
        <w:jc w:val="right"/>
        <w:rPr>
          <w:rFonts w:ascii="仿宋" w:hAnsi="仿宋" w:eastAsia="仿宋" w:cs="仿宋"/>
          <w:sz w:val="24"/>
        </w:rPr>
      </w:pPr>
    </w:p>
    <w:p>
      <w:pPr>
        <w:ind w:left="360"/>
        <w:jc w:val="right"/>
        <w:rPr>
          <w:rFonts w:ascii="仿宋" w:hAnsi="仿宋" w:eastAsia="仿宋" w:cs="仿宋"/>
          <w:sz w:val="24"/>
        </w:rPr>
      </w:pPr>
      <w:r>
        <w:rPr>
          <w:rFonts w:hint="eastAsia" w:ascii="仿宋" w:hAnsi="仿宋" w:eastAsia="仿宋" w:cs="仿宋"/>
          <w:sz w:val="24"/>
        </w:rPr>
        <w:t>杭银理财有限责任公司</w:t>
      </w:r>
    </w:p>
    <w:p>
      <w:pPr>
        <w:jc w:val="right"/>
        <w:rPr>
          <w:sz w:val="24"/>
        </w:rPr>
      </w:pPr>
      <w:r>
        <w:rPr>
          <w:rFonts w:hint="eastAsia" w:ascii="仿宋" w:hAnsi="仿宋" w:eastAsia="仿宋" w:cs="仿宋"/>
          <w:sz w:val="24"/>
        </w:rPr>
        <w:t>2023年4月19日</w:t>
      </w:r>
    </w:p>
    <w:p/>
    <w:p/>
    <w:sectPr>
      <w:headerReference r:id="rId3" w:type="default"/>
      <w:pgSz w:w="11906" w:h="16838"/>
      <w:pgMar w:top="2551" w:right="1803" w:bottom="2551"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仿宋简体">
    <w:altName w:val="宋体"/>
    <w:panose1 w:val="00000000000000000000"/>
    <w:charset w:val="86"/>
    <w:family w:val="roman"/>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D070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2"/>
    <w:unhideWhenUsed/>
    <w:qFormat/>
    <w:uiPriority w:val="0"/>
    <w:pPr>
      <w:keepNext/>
      <w:keepLines/>
      <w:spacing w:line="400" w:lineRule="exact"/>
      <w:jc w:val="left"/>
      <w:outlineLvl w:val="1"/>
    </w:pPr>
    <w:rPr>
      <w:rFonts w:ascii="Arial" w:hAnsi="Arial" w:eastAsia="宋体"/>
      <w:b/>
    </w:rPr>
  </w:style>
  <w:style w:type="paragraph" w:styleId="3">
    <w:name w:val="heading 3"/>
    <w:basedOn w:val="1"/>
    <w:next w:val="1"/>
    <w:link w:val="13"/>
    <w:unhideWhenUsed/>
    <w:qFormat/>
    <w:uiPriority w:val="0"/>
    <w:pPr>
      <w:keepNext/>
      <w:keepLines/>
      <w:spacing w:line="400" w:lineRule="exact"/>
      <w:jc w:val="left"/>
      <w:outlineLvl w:val="2"/>
    </w:pPr>
    <w:rPr>
      <w:rFonts w:ascii="Times New Roman" w:hAnsi="Times New Roman" w:eastAsia="宋体"/>
      <w:b/>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4"/>
    <w:unhideWhenUsed/>
    <w:qFormat/>
    <w:uiPriority w:val="0"/>
    <w:pPr>
      <w:spacing w:after="120"/>
    </w:pPr>
    <w:rPr>
      <w:rFonts w:ascii="Times New Roman" w:hAnsi="Times New Roman" w:eastAsia="方正仿宋简体" w:cs="Times New Roman"/>
      <w:sz w:val="32"/>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0"/>
    <w:pPr>
      <w:widowControl/>
      <w:spacing w:before="100" w:beforeAutospacing="1" w:after="100" w:afterAutospacing="1"/>
    </w:pPr>
    <w:rPr>
      <w:rFonts w:ascii="宋体" w:hAnsi="宋体" w:eastAsia="宋体" w:cs="Times New Roman"/>
      <w:kern w:val="0"/>
      <w:sz w:val="24"/>
      <w:szCs w:val="20"/>
    </w:rPr>
  </w:style>
  <w:style w:type="table" w:styleId="11">
    <w:name w:val="Table Grid"/>
    <w:basedOn w:val="10"/>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2">
    <w:name w:val="标题 2 字符"/>
    <w:basedOn w:val="9"/>
    <w:link w:val="2"/>
    <w:qFormat/>
    <w:uiPriority w:val="0"/>
    <w:rPr>
      <w:rFonts w:ascii="Arial" w:hAnsi="Arial" w:eastAsia="宋体"/>
      <w:b/>
    </w:rPr>
  </w:style>
  <w:style w:type="character" w:customStyle="1" w:styleId="13">
    <w:name w:val="标题 3 字符"/>
    <w:basedOn w:val="9"/>
    <w:link w:val="3"/>
    <w:qFormat/>
    <w:uiPriority w:val="0"/>
    <w:rPr>
      <w:rFonts w:ascii="Times New Roman" w:hAnsi="Times New Roman" w:eastAsia="宋体"/>
      <w:b/>
    </w:rPr>
  </w:style>
  <w:style w:type="character" w:customStyle="1" w:styleId="14">
    <w:name w:val="正文文本 字符"/>
    <w:basedOn w:val="9"/>
    <w:link w:val="4"/>
    <w:qFormat/>
    <w:uiPriority w:val="0"/>
    <w:rPr>
      <w:rFonts w:ascii="Times New Roman" w:hAnsi="Times New Roman" w:eastAsia="方正仿宋简体" w:cs="Times New Roman"/>
      <w:sz w:val="32"/>
      <w:szCs w:val="20"/>
    </w:rPr>
  </w:style>
  <w:style w:type="character" w:customStyle="1" w:styleId="15">
    <w:name w:val="页眉 字符"/>
    <w:basedOn w:val="9"/>
    <w:link w:val="7"/>
    <w:qFormat/>
    <w:uiPriority w:val="0"/>
    <w:rPr>
      <w:sz w:val="18"/>
    </w:rPr>
  </w:style>
  <w:style w:type="character" w:customStyle="1" w:styleId="16">
    <w:name w:val="页脚 字符"/>
    <w:basedOn w:val="9"/>
    <w:link w:val="6"/>
    <w:qFormat/>
    <w:uiPriority w:val="99"/>
    <w:rPr>
      <w:kern w:val="2"/>
      <w:sz w:val="18"/>
      <w:szCs w:val="18"/>
    </w:rPr>
  </w:style>
  <w:style w:type="character" w:customStyle="1" w:styleId="17">
    <w:name w:val="批注框文本 字符"/>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365</Words>
  <Characters>2082</Characters>
  <Lines>17</Lines>
  <Paragraphs>4</Paragraphs>
  <TotalTime>1</TotalTime>
  <ScaleCrop>false</ScaleCrop>
  <LinksUpToDate>false</LinksUpToDate>
  <CharactersWithSpaces>2443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2023-04-13T06:44:00Z</dcterms:created>
  <dc:creator>s c</dc:creator>
  <cp:lastModifiedBy>未定义</cp:lastModifiedBy>
  <dcterms:modified xsi:type="dcterms:W3CDTF">2023-04-19T04:25:38Z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2052-11.8.2.8053</vt:lpwstr>
  </property>
</Properties>
</file>