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line="560" w:lineRule="atLeast"/>
        <w:jc w:val="center"/>
        <w:textAlignment w:val="auto"/>
        <w:rPr>
          <w:rFonts w:hint="eastAsia" w:ascii="仿宋" w:hAnsi="仿宋" w:eastAsia="仿宋" w:cs="仿宋"/>
          <w:b/>
          <w:sz w:val="32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atLeast"/>
        <w:jc w:val="center"/>
        <w:textAlignment w:val="auto"/>
        <w:rPr>
          <w:rFonts w:hint="eastAsia" w:ascii="仿宋" w:hAnsi="仿宋" w:eastAsia="仿宋" w:cs="仿宋"/>
          <w:sz w:val="24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before="220" w:line="560" w:lineRule="atLeast"/>
        <w:jc w:val="center"/>
        <w:textAlignment w:val="auto"/>
        <w:rPr>
          <w:rFonts w:hint="eastAsia" w:ascii="仿宋" w:hAnsi="仿宋" w:eastAsia="仿宋" w:cs="仿宋"/>
          <w:bCs/>
          <w:kern w:val="0"/>
          <w:sz w:val="52"/>
          <w:szCs w:val="52"/>
          <w:lang w:bidi="zh-CN"/>
        </w:rPr>
      </w:pPr>
      <w:r>
        <w:rPr>
          <w:rFonts w:hint="eastAsia" w:ascii="仿宋" w:hAnsi="仿宋" w:eastAsia="仿宋" w:cs="仿宋"/>
          <w:bCs/>
          <w:kern w:val="0"/>
          <w:sz w:val="52"/>
          <w:szCs w:val="52"/>
          <w:lang w:bidi="zh-CN"/>
        </w:rPr>
        <w:t>杭银理财幸福99添益90天周期型理财计划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line="560" w:lineRule="atLeast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44"/>
          <w:szCs w:val="44"/>
          <w:lang w:bidi="zh-CN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  <w:lang w:bidi="zh-CN"/>
        </w:rPr>
        <w:t>2022</w:t>
      </w:r>
      <w:r>
        <w:rPr>
          <w:rFonts w:ascii="仿宋" w:hAnsi="仿宋" w:eastAsia="仿宋" w:cs="仿宋"/>
          <w:b/>
          <w:sz w:val="44"/>
        </w:rPr>
        <w:t>年第四季度暨年度报告</w:t>
      </w:r>
    </w:p>
    <w:p>
      <w:pPr>
        <w:pageBreakBefore w:val="0"/>
        <w:kinsoku/>
        <w:wordWrap/>
        <w:overflowPunct/>
        <w:topLinePunct w:val="0"/>
        <w:bidi w:val="0"/>
        <w:spacing w:line="560" w:lineRule="atLeast"/>
        <w:jc w:val="center"/>
        <w:textAlignment w:val="auto"/>
        <w:rPr>
          <w:rFonts w:hint="eastAsia" w:ascii="仿宋" w:hAnsi="仿宋" w:eastAsia="仿宋" w:cs="仿宋"/>
          <w:color w:val="0000FF"/>
          <w:kern w:val="0"/>
          <w:sz w:val="18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560" w:lineRule="atLeast"/>
        <w:jc w:val="both"/>
        <w:textAlignment w:val="auto"/>
        <w:rPr>
          <w:rFonts w:hint="eastAsia" w:ascii="仿宋" w:hAnsi="仿宋" w:eastAsia="仿宋" w:cs="仿宋"/>
          <w:sz w:val="24"/>
        </w:rPr>
      </w:pPr>
    </w:p>
    <w:p>
      <w:pPr>
        <w:pageBreakBefore w:val="0"/>
        <w:kinsoku/>
        <w:wordWrap/>
        <w:overflowPunct/>
        <w:topLinePunct w:val="0"/>
        <w:bidi w:val="0"/>
        <w:spacing w:line="560" w:lineRule="atLeast"/>
        <w:jc w:val="center"/>
        <w:textAlignment w:val="auto"/>
        <w:rPr>
          <w:rFonts w:hint="eastAsia" w:ascii="仿宋" w:hAnsi="仿宋" w:eastAsia="仿宋" w:cs="仿宋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0" w:firstLineChars="0"/>
        <w:jc w:val="center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产品管理人：</w:t>
      </w:r>
      <w:r>
        <w:rPr>
          <w:rFonts w:ascii="仿宋" w:hAnsi="仿宋" w:eastAsia="仿宋" w:cs="仿宋"/>
          <w:sz w:val="24"/>
        </w:rPr>
        <w:t>杭银理财有限责任公司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0" w:firstLineChars="0"/>
        <w:jc w:val="center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产品托管人：</w:t>
      </w:r>
      <w:r>
        <w:rPr>
          <w:rFonts w:ascii="仿宋" w:hAnsi="仿宋" w:eastAsia="仿宋" w:cs="仿宋"/>
          <w:sz w:val="24"/>
        </w:rPr>
        <w:t>杭州银行股份有限公司</w:t>
      </w:r>
    </w:p>
    <w:p>
      <w:pPr>
        <w:pageBreakBefore w:val="0"/>
        <w:kinsoku/>
        <w:wordWrap/>
        <w:overflowPunct/>
        <w:topLinePunct w:val="0"/>
        <w:bidi w:val="0"/>
        <w:spacing w:line="560" w:lineRule="atLeast"/>
        <w:jc w:val="center"/>
        <w:textAlignment w:val="auto"/>
        <w:rPr>
          <w:rFonts w:hint="eastAsia" w:ascii="仿宋" w:hAnsi="仿宋" w:eastAsia="仿宋" w:cs="仿宋"/>
          <w:sz w:val="24"/>
        </w:rPr>
      </w:pPr>
    </w:p>
    <w:p>
      <w:pPr>
        <w:pageBreakBefore w:val="0"/>
        <w:kinsoku/>
        <w:wordWrap/>
        <w:overflowPunct/>
        <w:topLinePunct w:val="0"/>
        <w:bidi w:val="0"/>
        <w:spacing w:line="560" w:lineRule="atLeast"/>
        <w:jc w:val="center"/>
        <w:textAlignment w:val="auto"/>
        <w:rPr>
          <w:rFonts w:hint="eastAsia" w:ascii="仿宋" w:hAnsi="仿宋" w:eastAsia="仿宋" w:cs="仿宋"/>
          <w:sz w:val="24"/>
        </w:rPr>
      </w:pPr>
    </w:p>
    <w:p>
      <w:pPr>
        <w:pageBreakBefore w:val="0"/>
        <w:kinsoku/>
        <w:wordWrap/>
        <w:overflowPunct/>
        <w:topLinePunct w:val="0"/>
        <w:bidi w:val="0"/>
        <w:spacing w:line="560" w:lineRule="atLeast"/>
        <w:jc w:val="center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2023年1月19日</w:t>
      </w:r>
      <w:r>
        <w:br w:type="page"/>
      </w:r>
    </w:p>
    <w:p>
      <w:pPr>
        <w:pStyle w:val="3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atLeast"/>
        <w:jc w:val="center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§1  重要提示</w:t>
      </w:r>
    </w:p>
    <w:tbl>
      <w:tblPr>
        <w:tblStyle w:val="10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</w:trPr>
        <w:tc>
          <w:tcPr>
            <w:tcW w:w="9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40404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40404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404040"/>
                <w:kern w:val="0"/>
                <w:sz w:val="24"/>
              </w:rPr>
              <w:t>产品托管人根据本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产品</w:t>
            </w:r>
            <w:r>
              <w:rPr>
                <w:rFonts w:hint="eastAsia" w:ascii="仿宋" w:hAnsi="仿宋" w:eastAsia="仿宋" w:cs="仿宋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hAnsi="仿宋" w:eastAsia="仿宋" w:cs="仿宋"/>
                <w:color w:val="404040"/>
                <w:sz w:val="24"/>
              </w:rPr>
              <w:t>2022年12月31日复核了本报告中的财务指标、净值表现和投资组合报告等内容，保证复核内容不存在虚假记载、误导性陈述或者重大遗漏。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40404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404040"/>
                <w:kern w:val="0"/>
                <w:sz w:val="24"/>
              </w:rPr>
              <w:t>产品的过往业绩并不代表其未来表现。投资有风险，投资者在作出投资决策前应仔细阅读本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产品</w:t>
            </w:r>
            <w:r>
              <w:rPr>
                <w:rFonts w:hint="eastAsia" w:ascii="仿宋" w:hAnsi="仿宋" w:eastAsia="仿宋" w:cs="仿宋"/>
                <w:color w:val="404040"/>
                <w:kern w:val="0"/>
                <w:sz w:val="24"/>
              </w:rPr>
              <w:t>的产品说明书。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40404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404040"/>
                <w:kern w:val="0"/>
                <w:sz w:val="24"/>
              </w:rPr>
              <w:t>本报告中财务资料未经审计。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hAnsi="仿宋" w:eastAsia="仿宋" w:cs="仿宋"/>
                <w:color w:val="404040"/>
                <w:sz w:val="24"/>
              </w:rPr>
              <w:t>2022年10月1日起至2022年12月31日止。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560" w:lineRule="atLeast"/>
        <w:textAlignment w:val="auto"/>
        <w:rPr>
          <w:rStyle w:val="11"/>
          <w:rFonts w:hint="eastAsia" w:ascii="仿宋" w:hAnsi="仿宋" w:eastAsia="仿宋" w:cs="仿宋"/>
          <w:color w:val="0000FF"/>
          <w:sz w:val="18"/>
        </w:rPr>
      </w:pPr>
      <w:r>
        <w:rPr>
          <w:rStyle w:val="11"/>
          <w:rFonts w:hint="eastAsia" w:ascii="仿宋" w:hAnsi="仿宋" w:eastAsia="仿宋" w:cs="仿宋"/>
          <w:color w:val="0000FF"/>
          <w:sz w:val="18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560" w:lineRule="atLeast"/>
        <w:textAlignment w:val="auto"/>
        <w:rPr>
          <w:rStyle w:val="11"/>
          <w:rFonts w:hint="eastAsia" w:ascii="仿宋" w:hAnsi="仿宋" w:eastAsia="仿宋" w:cs="仿宋"/>
          <w:color w:val="0000FF"/>
          <w:sz w:val="18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atLeast"/>
        <w:jc w:val="center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§2  产品概况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atLeast"/>
        <w:textAlignment w:val="auto"/>
        <w:rPr>
          <w:rFonts w:hint="eastAsia" w:ascii="仿宋" w:hAnsi="仿宋" w:eastAsia="仿宋" w:cs="仿宋"/>
          <w:b/>
          <w:sz w:val="24"/>
        </w:rPr>
      </w:pPr>
      <w:bookmarkStart w:id="0" w:name="_Toc354129567"/>
      <w:r>
        <w:rPr>
          <w:rFonts w:hint="eastAsia" w:ascii="仿宋" w:hAnsi="仿宋" w:eastAsia="仿宋" w:cs="仿宋"/>
          <w:b/>
          <w:sz w:val="24"/>
        </w:rPr>
        <w:t>2.1 产品基本情况</w:t>
      </w:r>
      <w:bookmarkEnd w:id="0"/>
    </w:p>
    <w:tbl>
      <w:tblPr>
        <w:tblStyle w:val="10"/>
        <w:tblW w:w="9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5"/>
        <w:gridCol w:w="5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atLeas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杭银理财幸福99添益90天周期型理财计划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atLeas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TYG90D2101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atLeas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Z7002221000108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atLeas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2021年8月5日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atLeas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atLeas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公募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atLeas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开放式净值型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atLeas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固定收益类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atLeas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3.20%-4.20%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报告期末产品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规模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5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atLeas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9,731,475,148.76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atLeas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101.79%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atLeas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中低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atLeas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杭银理财有限责任公司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atLeas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杭州银行股份有限公司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atLeast"/>
        <w:textAlignment w:val="auto"/>
        <w:rPr>
          <w:rFonts w:hint="eastAsia" w:ascii="仿宋" w:hAnsi="仿宋" w:eastAsia="仿宋" w:cs="仿宋"/>
          <w:sz w:val="18"/>
          <w:szCs w:val="20"/>
        </w:rPr>
      </w:pPr>
      <w:r>
        <w:rPr>
          <w:rFonts w:hint="eastAsia" w:ascii="仿宋" w:hAnsi="仿宋" w:eastAsia="仿宋" w:cs="仿宋"/>
          <w:sz w:val="18"/>
        </w:rPr>
        <w:t>*杠杆水平=总资产/理财产品净资产，理财产品净资产=总资产-总负债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atLeast"/>
        <w:textAlignment w:val="auto"/>
        <w:rPr>
          <w:rFonts w:hint="eastAsia" w:ascii="仿宋" w:hAnsi="仿宋" w:eastAsia="仿宋" w:cs="仿宋"/>
          <w:color w:val="000000"/>
          <w:sz w:val="24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atLeast"/>
        <w:textAlignment w:val="auto"/>
        <w:rPr>
          <w:rFonts w:hint="eastAsia" w:ascii="仿宋" w:hAnsi="仿宋" w:eastAsia="仿宋" w:cs="仿宋"/>
          <w:color w:val="000000"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atLeast"/>
        <w:jc w:val="center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§3  主要财务指标和产品净值表现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atLeast"/>
        <w:textAlignment w:val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3.1 主要财务指标和产品净值表现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atLeast"/>
        <w:ind w:left="5143" w:hanging="5143" w:hangingChars="2143"/>
        <w:jc w:val="right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24"/>
        </w:rPr>
        <w:t>单位：元、</w:t>
      </w:r>
      <w:r>
        <w:rPr>
          <w:rFonts w:hint="eastAsia" w:ascii="仿宋" w:hAnsi="仿宋" w:eastAsia="仿宋" w:cs="仿宋"/>
          <w:sz w:val="24"/>
          <w:lang w:val="en-US" w:eastAsia="zh-CN"/>
        </w:rPr>
        <w:t>份、</w:t>
      </w:r>
      <w:r>
        <w:rPr>
          <w:rFonts w:hint="eastAsia" w:ascii="仿宋" w:hAnsi="仿宋" w:eastAsia="仿宋" w:cs="仿宋"/>
          <w:sz w:val="24"/>
        </w:rPr>
        <w:t>元/份</w:t>
      </w:r>
    </w:p>
    <w:tbl>
      <w:tblPr>
        <w:tblStyle w:val="10"/>
        <w:tblW w:w="91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1"/>
        <w:gridCol w:w="4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主要财务指标</w:t>
            </w:r>
          </w:p>
        </w:tc>
        <w:tc>
          <w:tcPr>
            <w:tcW w:w="4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报告期（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2022年10月1日-2022年12月31日）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left"/>
              <w:textAlignment w:val="auto"/>
              <w:rPr>
                <w:rStyle w:val="11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.期末产品资产净值</w:t>
            </w:r>
          </w:p>
        </w:tc>
        <w:tc>
          <w:tcPr>
            <w:tcW w:w="4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9,731,475,148.76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2.期末产品总份额</w:t>
            </w:r>
          </w:p>
        </w:tc>
        <w:tc>
          <w:tcPr>
            <w:tcW w:w="4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9,295,751,065.23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4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left"/>
              <w:textAlignment w:val="auto"/>
              <w:rPr>
                <w:rStyle w:val="11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.期末产品份额单位净值</w:t>
            </w:r>
          </w:p>
        </w:tc>
        <w:tc>
          <w:tcPr>
            <w:tcW w:w="4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1.0468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4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left"/>
              <w:textAlignment w:val="auto"/>
              <w:rPr>
                <w:rStyle w:val="11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.期末产品份额累计净值</w:t>
            </w:r>
          </w:p>
        </w:tc>
        <w:tc>
          <w:tcPr>
            <w:tcW w:w="4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1.0468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atLeast"/>
        <w:textAlignment w:val="auto"/>
        <w:rPr>
          <w:rFonts w:hint="eastAsia" w:ascii="仿宋" w:hAnsi="仿宋" w:eastAsia="仿宋" w:cs="仿宋"/>
          <w:color w:val="404040"/>
          <w:kern w:val="0"/>
          <w:sz w:val="18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atLeast"/>
        <w:textAlignment w:val="auto"/>
        <w:rPr>
          <w:rFonts w:hint="eastAsia" w:ascii="仿宋" w:hAnsi="仿宋" w:eastAsia="仿宋" w:cs="仿宋"/>
          <w:color w:val="404040"/>
          <w:kern w:val="0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atLeast"/>
        <w:jc w:val="center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§4  投资组合报告</w:t>
      </w:r>
    </w:p>
    <w:p>
      <w:pPr>
        <w:pageBreakBefore w:val="0"/>
        <w:kinsoku/>
        <w:wordWrap/>
        <w:overflowPunct/>
        <w:topLinePunct w:val="0"/>
        <w:bidi w:val="0"/>
        <w:spacing w:line="560" w:lineRule="atLeast"/>
        <w:textAlignment w:val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4.1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b/>
          <w:sz w:val="24"/>
        </w:rPr>
        <w:t>报告期内产品投资策略与回顾</w:t>
      </w:r>
    </w:p>
    <w:p>
      <w:pPr>
        <w:pageBreakBefore w:val="0"/>
        <w:kinsoku/>
        <w:wordWrap/>
        <w:overflowPunct/>
        <w:topLinePunct w:val="0"/>
        <w:bidi w:val="0"/>
        <w:spacing w:line="560" w:lineRule="atLeast"/>
        <w:ind w:firstLine="405" w:firstLineChars="169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本产品主要配置固收类资产， 4季度债券收益率整体上行，10月资金宽松叠加疫情扰动带动收益率下行，11月随着房地产政策、疫情防控政策出现大幅调整，叠加理财赎回负反馈放大债市波动，债券收益率快速上行，10年国债收益率最高触及2.92%，城投债、二永债等信用债品种跌幅明显，12月下旬在央行大额投放资金、基本面偏弱、信用债价值凸显背景下，收益率重回下行。本产品债券策略上主要优选发达地区城投债作为底仓配置，并择机参与波段交易增厚产品收益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atLeast"/>
        <w:textAlignment w:val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4.2</w:t>
      </w:r>
      <w:r>
        <w:rPr>
          <w:rFonts w:hint="eastAsia" w:ascii="仿宋" w:hAnsi="仿宋" w:eastAsia="仿宋" w:cs="仿宋"/>
          <w:b/>
          <w:sz w:val="24"/>
        </w:rPr>
        <w:t>产品未来展望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atLeas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展望2023年1季度，基本面来看，疫情防控政策放松有利于国内消费恢复，地产政策放松有利于房地产销售、投资回升，海外紧缩的货币政策和经济下行使得国内出口压力加大，制造业投资和基建投资能否维持高增长仍依赖于政策支持力度，整体来说，宏观经济大概率较2022年回升，但受全球经济下行、后续疫情发展的不确定性、以及高质量发展目标等影响，经济回升幅度或有限；资金面来看，流动性合理充裕的基调仍将持续，货币政策需要维持宽松来支持稳增长目标，宽信用离不开宽松的货币政策环境，降准降息的可能性仍存在，银行间7天回购利率大概率在政策利率偏下水平波动。</w:t>
      </w:r>
      <w:r>
        <w:rPr>
          <w:rFonts w:hint="eastAsia" w:ascii="仿宋" w:hAnsi="仿宋" w:eastAsia="仿宋" w:cs="仿宋"/>
          <w:sz w:val="24"/>
        </w:rPr>
        <w:cr/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</w:t>
      </w:r>
      <w:bookmarkStart w:id="1" w:name="_GoBack"/>
      <w:bookmarkEnd w:id="1"/>
      <w:r>
        <w:rPr>
          <w:rFonts w:hint="eastAsia" w:ascii="仿宋" w:hAnsi="仿宋" w:eastAsia="仿宋" w:cs="仿宋"/>
          <w:sz w:val="24"/>
        </w:rPr>
        <w:t>整体而言，产品将保持一定杠杆比例，适时把握利率债的阶段性交易机会。目前信用债利差已处于历史较高水平，信用债短久期品种性价比凸显，管理人后续将结合市场情况，对产品持仓品种进行动态评估，合理分配类属资产比例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atLeast"/>
        <w:textAlignment w:val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4.3</w:t>
      </w:r>
      <w:r>
        <w:rPr>
          <w:rFonts w:hint="eastAsia" w:ascii="仿宋" w:hAnsi="仿宋" w:eastAsia="仿宋" w:cs="仿宋"/>
          <w:b/>
          <w:sz w:val="24"/>
        </w:rPr>
        <w:t>投资组合的流动性风险分析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atLeas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本产品属于</w:t>
      </w:r>
      <w:r>
        <w:rPr>
          <w:rFonts w:ascii="仿宋" w:hAnsi="仿宋" w:eastAsia="仿宋" w:cs="仿宋"/>
          <w:sz w:val="24"/>
        </w:rPr>
        <w:t>开放式固定收益类，本产品通过合理安排投资品种和期限结构、限制资产持仓集中度、监控组合资金头寸等方式管理产品的流动性风险，确保资产的变现能力与投资者赎回需求的匹配；报告期内，本产品未发生重大流动性风险事件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atLeast"/>
        <w:textAlignment w:val="auto"/>
        <w:rPr>
          <w:rFonts w:hint="eastAsia" w:ascii="仿宋" w:hAnsi="仿宋" w:eastAsia="仿宋" w:cs="仿宋"/>
          <w:b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4.4 报告期末</w:t>
      </w:r>
      <w:r>
        <w:rPr>
          <w:rFonts w:hint="eastAsia" w:ascii="仿宋" w:hAnsi="仿宋" w:eastAsia="仿宋" w:cs="仿宋"/>
          <w:b/>
          <w:color w:val="000000"/>
          <w:sz w:val="24"/>
          <w:lang w:val="en-US" w:eastAsia="zh-CN"/>
        </w:rPr>
        <w:t>穿透前</w:t>
      </w:r>
      <w:r>
        <w:rPr>
          <w:rFonts w:hint="eastAsia" w:ascii="仿宋" w:hAnsi="仿宋" w:eastAsia="仿宋" w:cs="仿宋"/>
          <w:b/>
          <w:color w:val="000000"/>
          <w:sz w:val="24"/>
        </w:rPr>
        <w:t>投资组合分类</w:t>
      </w:r>
    </w:p>
    <w:tbl>
      <w:tblPr>
        <w:tblStyle w:val="10"/>
        <w:tblW w:w="9633" w:type="dxa"/>
        <w:tblInd w:w="-61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6"/>
        <w:gridCol w:w="5614"/>
        <w:gridCol w:w="283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序号</w:t>
            </w:r>
          </w:p>
        </w:tc>
        <w:tc>
          <w:tcPr>
            <w:tcW w:w="5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</w:t>
            </w:r>
          </w:p>
        </w:tc>
        <w:tc>
          <w:tcPr>
            <w:tcW w:w="2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期末占总资产比例（％）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5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现金及银行存款</w:t>
            </w:r>
          </w:p>
        </w:tc>
        <w:tc>
          <w:tcPr>
            <w:tcW w:w="2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5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同业存单</w:t>
            </w:r>
          </w:p>
        </w:tc>
        <w:tc>
          <w:tcPr>
            <w:tcW w:w="2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5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拆放同业及债券买入返售</w:t>
            </w:r>
          </w:p>
        </w:tc>
        <w:tc>
          <w:tcPr>
            <w:tcW w:w="2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5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债券</w:t>
            </w:r>
          </w:p>
        </w:tc>
        <w:tc>
          <w:tcPr>
            <w:tcW w:w="2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64.55%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5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非标准化债权类资产</w:t>
            </w:r>
          </w:p>
        </w:tc>
        <w:tc>
          <w:tcPr>
            <w:tcW w:w="2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5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权益类投资</w:t>
            </w:r>
          </w:p>
        </w:tc>
        <w:tc>
          <w:tcPr>
            <w:tcW w:w="2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5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金融衍生品</w:t>
            </w:r>
          </w:p>
        </w:tc>
        <w:tc>
          <w:tcPr>
            <w:tcW w:w="2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5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代客境外理财投资QDII</w:t>
            </w:r>
          </w:p>
        </w:tc>
        <w:tc>
          <w:tcPr>
            <w:tcW w:w="2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5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商品类资产</w:t>
            </w:r>
          </w:p>
        </w:tc>
        <w:tc>
          <w:tcPr>
            <w:tcW w:w="2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5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另类资产</w:t>
            </w:r>
          </w:p>
        </w:tc>
        <w:tc>
          <w:tcPr>
            <w:tcW w:w="2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</w:t>
            </w:r>
          </w:p>
        </w:tc>
        <w:tc>
          <w:tcPr>
            <w:tcW w:w="5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公募基金</w:t>
            </w:r>
          </w:p>
        </w:tc>
        <w:tc>
          <w:tcPr>
            <w:tcW w:w="2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0.51%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</w:t>
            </w:r>
          </w:p>
        </w:tc>
        <w:tc>
          <w:tcPr>
            <w:tcW w:w="5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私募基金</w:t>
            </w:r>
          </w:p>
        </w:tc>
        <w:tc>
          <w:tcPr>
            <w:tcW w:w="2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</w:t>
            </w:r>
          </w:p>
        </w:tc>
        <w:tc>
          <w:tcPr>
            <w:tcW w:w="5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资产管理产品</w:t>
            </w:r>
          </w:p>
        </w:tc>
        <w:tc>
          <w:tcPr>
            <w:tcW w:w="2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34.84%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</w:t>
            </w:r>
          </w:p>
        </w:tc>
        <w:tc>
          <w:tcPr>
            <w:tcW w:w="5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委外投资——协议方式</w:t>
            </w:r>
          </w:p>
        </w:tc>
        <w:tc>
          <w:tcPr>
            <w:tcW w:w="2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</w:t>
            </w:r>
          </w:p>
        </w:tc>
        <w:tc>
          <w:tcPr>
            <w:tcW w:w="5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合计</w:t>
            </w:r>
          </w:p>
        </w:tc>
        <w:tc>
          <w:tcPr>
            <w:tcW w:w="2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100.00%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atLeast"/>
        <w:textAlignment w:val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4.5 报告期末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穿透后</w:t>
      </w:r>
      <w:r>
        <w:rPr>
          <w:rFonts w:hint="eastAsia" w:ascii="仿宋" w:hAnsi="仿宋" w:eastAsia="仿宋" w:cs="仿宋"/>
          <w:b/>
          <w:sz w:val="24"/>
        </w:rPr>
        <w:t>投资组合分类</w:t>
      </w:r>
    </w:p>
    <w:tbl>
      <w:tblPr>
        <w:tblStyle w:val="10"/>
        <w:tblW w:w="9667" w:type="dxa"/>
        <w:tblInd w:w="-65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0"/>
        <w:gridCol w:w="5647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序号</w:t>
            </w:r>
          </w:p>
        </w:tc>
        <w:tc>
          <w:tcPr>
            <w:tcW w:w="5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期末占总资产比例（％）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5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现金及银行存款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1.49%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5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同业存单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5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拆放同业及债券买入返售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5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债券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98.00%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5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非标准化债权类资产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5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权益类投资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5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金融衍生品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5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代客境外理财投资QDII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5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商品类资产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5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另类资产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</w:t>
            </w:r>
          </w:p>
        </w:tc>
        <w:tc>
          <w:tcPr>
            <w:tcW w:w="5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公募基金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0.51%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</w:t>
            </w:r>
          </w:p>
        </w:tc>
        <w:tc>
          <w:tcPr>
            <w:tcW w:w="5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私募基金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</w:t>
            </w:r>
          </w:p>
        </w:tc>
        <w:tc>
          <w:tcPr>
            <w:tcW w:w="5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资产管理产品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</w:t>
            </w:r>
          </w:p>
        </w:tc>
        <w:tc>
          <w:tcPr>
            <w:tcW w:w="5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委外投资——协议方式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</w:t>
            </w:r>
          </w:p>
        </w:tc>
        <w:tc>
          <w:tcPr>
            <w:tcW w:w="5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合计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100.00%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atLeast"/>
        <w:textAlignment w:val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4.6报告期末投资前十名资产明细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atLeast"/>
        <w:jc w:val="right"/>
        <w:textAlignment w:val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sz w:val="24"/>
        </w:rPr>
        <w:t>单位：人民币元</w:t>
      </w:r>
    </w:p>
    <w:tbl>
      <w:tblPr>
        <w:tblStyle w:val="10"/>
        <w:tblW w:w="9634" w:type="dxa"/>
        <w:jc w:val="center"/>
        <w:tblInd w:w="18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3166"/>
        <w:gridCol w:w="2467"/>
        <w:gridCol w:w="2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序号</w:t>
            </w:r>
          </w:p>
        </w:tc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资产名称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金额（元）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占资产净值比例（％）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华润信托钱盈1号集合资金信托计划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3,250,258,357.89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33.40%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18国开11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256,080,479.45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鑫沅资产鑫梅花606号集合资产管理计划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200,760,299.74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21淮开03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193,683,136.99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21农发清发03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152,075,835.62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20浙建Y1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147,871,408.22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1.52%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20富春01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127,365,660.27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18绍兴03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105,543,150.68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20国开07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101,728,219.18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22江苏新投MTN002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94,988,145.21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0.98%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atLeast"/>
        <w:textAlignment w:val="auto"/>
        <w:rPr>
          <w:rFonts w:hint="eastAsia" w:ascii="仿宋" w:hAnsi="仿宋" w:eastAsia="仿宋" w:cs="仿宋"/>
          <w:b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</w:rPr>
        <w:t>4.7 报告期融资情况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atLeast"/>
        <w:ind w:firstLine="6240" w:firstLineChars="2600"/>
        <w:jc w:val="right"/>
        <w:textAlignment w:val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sz w:val="24"/>
        </w:rPr>
        <w:t>单位：人民币元</w:t>
      </w:r>
    </w:p>
    <w:tbl>
      <w:tblPr>
        <w:tblStyle w:val="10"/>
        <w:tblW w:w="9633" w:type="dxa"/>
        <w:tblInd w:w="-639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66"/>
        <w:gridCol w:w="3167"/>
        <w:gridCol w:w="2433"/>
        <w:gridCol w:w="2767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5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占资产净值比例（％）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5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160,023,934.24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1.64%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5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0.00%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5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atLeast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0.00%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atLeast"/>
        <w:jc w:val="right"/>
        <w:textAlignment w:val="auto"/>
        <w:rPr>
          <w:rFonts w:hint="eastAsia" w:ascii="仿宋" w:hAnsi="仿宋" w:eastAsia="仿宋" w:cs="仿宋"/>
          <w:b/>
          <w:sz w:val="22"/>
          <w:szCs w:val="22"/>
          <w:highlight w:val="yellow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atLeast"/>
        <w:textAlignment w:val="auto"/>
        <w:rPr>
          <w:rFonts w:hint="eastAsia" w:ascii="仿宋" w:hAnsi="仿宋" w:eastAsia="仿宋" w:cs="仿宋"/>
          <w:color w:val="0000FF"/>
          <w:kern w:val="0"/>
          <w:sz w:val="18"/>
          <w:szCs w:val="20"/>
          <w:highlight w:val="yellow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atLeast"/>
        <w:jc w:val="center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 w:val="0"/>
          <w:sz w:val="24"/>
        </w:rPr>
        <w:t>§</w:t>
      </w:r>
      <w:r>
        <w:rPr>
          <w:rFonts w:hint="eastAsia" w:ascii="仿宋" w:hAnsi="仿宋" w:eastAsia="仿宋" w:cs="仿宋"/>
          <w:sz w:val="24"/>
        </w:rPr>
        <w:t>5  产品份额变动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atLeast"/>
        <w:jc w:val="righ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                             单位：份</w:t>
      </w:r>
    </w:p>
    <w:tbl>
      <w:tblPr>
        <w:tblStyle w:val="10"/>
        <w:tblW w:w="9616" w:type="dxa"/>
        <w:tblInd w:w="-5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0"/>
        <w:gridCol w:w="4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22,614,434,346.61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atLeast"/>
              <w:jc w:val="right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9,295,751,065.23</w:t>
            </w:r>
          </w:p>
        </w:tc>
      </w:tr>
    </w:tbl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atLeast"/>
        <w:jc w:val="left"/>
        <w:textAlignment w:val="auto"/>
        <w:rPr>
          <w:rFonts w:hint="eastAsia" w:ascii="仿宋" w:hAnsi="仿宋" w:eastAsia="仿宋" w:cs="仿宋"/>
          <w:color w:val="404040"/>
          <w:kern w:val="0"/>
          <w:sz w:val="24"/>
        </w:rPr>
      </w:pP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atLeast"/>
        <w:jc w:val="left"/>
        <w:textAlignment w:val="auto"/>
        <w:rPr>
          <w:rFonts w:hint="eastAsia" w:ascii="仿宋" w:hAnsi="仿宋" w:eastAsia="仿宋" w:cs="仿宋"/>
          <w:color w:val="404040"/>
          <w:kern w:val="0"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atLeast"/>
        <w:jc w:val="center"/>
        <w:textAlignment w:val="auto"/>
        <w:rPr>
          <w:rFonts w:hint="eastAsia" w:ascii="仿宋" w:hAnsi="仿宋" w:eastAsia="仿宋" w:cs="仿宋"/>
          <w:bCs/>
          <w:sz w:val="24"/>
          <w:szCs w:val="22"/>
        </w:rPr>
      </w:pPr>
      <w:r>
        <w:rPr>
          <w:rFonts w:hint="eastAsia" w:ascii="仿宋" w:hAnsi="仿宋" w:eastAsia="仿宋" w:cs="仿宋"/>
          <w:bCs/>
          <w:sz w:val="24"/>
          <w:szCs w:val="22"/>
        </w:rPr>
        <w:t>§</w:t>
      </w:r>
      <w:r>
        <w:rPr>
          <w:rFonts w:hint="eastAsia" w:ascii="仿宋" w:hAnsi="仿宋" w:eastAsia="仿宋" w:cs="仿宋"/>
          <w:bCs/>
          <w:sz w:val="24"/>
          <w:szCs w:val="22"/>
          <w:lang w:val="en-US" w:eastAsia="zh-CN"/>
        </w:rPr>
        <w:t>6</w:t>
      </w:r>
      <w:r>
        <w:rPr>
          <w:rFonts w:hint="eastAsia" w:ascii="仿宋" w:hAnsi="仿宋" w:eastAsia="仿宋" w:cs="仿宋"/>
          <w:bCs/>
          <w:sz w:val="24"/>
          <w:szCs w:val="22"/>
        </w:rPr>
        <w:t xml:space="preserve"> 托管人报告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atLeast"/>
        <w:ind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atLeast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  <w:szCs w:val="18"/>
        </w:rPr>
      </w:pPr>
      <w:r>
        <w:rPr>
          <w:rFonts w:hint="eastAsia" w:ascii="仿宋" w:hAnsi="仿宋" w:eastAsia="仿宋" w:cs="仿宋"/>
          <w:sz w:val="24"/>
        </w:rPr>
        <w:t>本托管人复核了本产品报告中的财务指标、净值表现和投资组合报告等内容。经复核，本产品报告中披露的理财产品财务数据核对一致。</w:t>
      </w: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atLeas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404040"/>
          <w:kern w:val="0"/>
          <w:sz w:val="24"/>
        </w:rPr>
      </w:pPr>
    </w:p>
    <w:p>
      <w:pPr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atLeas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404040"/>
          <w:kern w:val="0"/>
          <w:sz w:val="24"/>
        </w:rPr>
      </w:pPr>
    </w:p>
    <w:p>
      <w:pPr>
        <w:pageBreakBefore w:val="0"/>
        <w:kinsoku/>
        <w:wordWrap/>
        <w:overflowPunct/>
        <w:topLinePunct w:val="0"/>
        <w:bidi w:val="0"/>
        <w:spacing w:line="560" w:lineRule="atLeast"/>
        <w:ind w:left="360"/>
        <w:jc w:val="right"/>
        <w:textAlignment w:val="auto"/>
        <w:rPr>
          <w:rFonts w:hint="eastAsia" w:ascii="仿宋" w:hAnsi="仿宋" w:eastAsia="仿宋" w:cs="仿宋"/>
          <w:sz w:val="24"/>
          <w:szCs w:val="20"/>
        </w:rPr>
      </w:pPr>
    </w:p>
    <w:p>
      <w:pPr>
        <w:pageBreakBefore w:val="0"/>
        <w:kinsoku/>
        <w:wordWrap/>
        <w:overflowPunct/>
        <w:topLinePunct w:val="0"/>
        <w:bidi w:val="0"/>
        <w:spacing w:line="560" w:lineRule="atLeast"/>
        <w:ind w:left="360"/>
        <w:jc w:val="righ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杭银理财有限责任公司</w:t>
      </w:r>
    </w:p>
    <w:p>
      <w:pPr>
        <w:pageBreakBefore w:val="0"/>
        <w:kinsoku/>
        <w:wordWrap/>
        <w:overflowPunct/>
        <w:topLinePunct w:val="0"/>
        <w:bidi w:val="0"/>
        <w:spacing w:line="560" w:lineRule="atLeast"/>
        <w:jc w:val="righ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4"/>
        </w:rPr>
        <w:t>2023年1月19日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2141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1"/>
    <w:unhideWhenUsed/>
    <w:qFormat/>
    <w:uiPriority w:val="0"/>
    <w:pPr>
      <w:spacing w:after="120"/>
    </w:pPr>
    <w:rPr>
      <w:rFonts w:ascii="Times New Roman" w:hAnsi="Times New Roman" w:eastAsia="方正仿宋简体" w:cs="Times New Roman"/>
      <w:sz w:val="32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</w:pPr>
    <w:rPr>
      <w:rFonts w:ascii="宋体" w:hAnsi="宋体" w:eastAsia="宋体" w:cs="Times New Roman"/>
      <w:kern w:val="0"/>
      <w:sz w:val="24"/>
      <w:szCs w:val="20"/>
    </w:rPr>
  </w:style>
  <w:style w:type="character" w:customStyle="1" w:styleId="11">
    <w:name w:val="正文文本 字符"/>
    <w:basedOn w:val="9"/>
    <w:link w:val="5"/>
    <w:qFormat/>
    <w:uiPriority w:val="0"/>
    <w:rPr>
      <w:rFonts w:ascii="Times New Roman" w:hAnsi="Times New Roman" w:eastAsia="方正仿宋简体" w:cs="Times New Roman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389</Words>
  <Characters>2221</Characters>
  <Lines>18</Lines>
  <Paragraphs>5</Paragraphs>
  <TotalTime>8</TotalTime>
  <ScaleCrop>false</ScaleCrop>
  <LinksUpToDate>false</LinksUpToDate>
  <CharactersWithSpaces>2605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hccb</cp:lastModifiedBy>
  <dcterms:modified xsi:type="dcterms:W3CDTF">2023-01-19T05:15:53Z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