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8556" w:type="dxa"/>
        <w:jc w:val="center"/>
        <w:tblLayout w:type="fixed"/>
        <w:tblCellMar>
          <w:top w:w="0" w:type="dxa"/>
          <w:left w:w="108" w:type="dxa"/>
          <w:bottom w:w="0" w:type="dxa"/>
          <w:right w:w="108" w:type="dxa"/>
        </w:tblCellMar>
      </w:tblPr>
      <w:tblGrid>
        <w:gridCol w:w="8556"/>
      </w:tblGrid>
      <w:tr>
        <w:trPr>
          <w:jc w:val="center"/>
        </w:trPr>
        <w:tc>
          <w:tcPr>
            <w:tcW w:w="8556" w:type="dxa"/>
          </w:tcPr>
          <w:p>
            <w:pPr>
              <w:spacing w:line="660" w:lineRule="exact"/>
              <w:jc w:val="center"/>
              <w:rPr>
                <w:rFonts w:ascii="仿宋_GB2312" w:eastAsia="仿宋_GB2312"/>
                <w:sz w:val="32"/>
                <w:szCs w:val="32"/>
              </w:rPr>
            </w:pPr>
            <w:bookmarkStart w:id="0" w:name="TTitle_1"/>
            <w:bookmarkEnd w:id="0"/>
            <w:r>
              <w:rPr>
                <w:rFonts w:hint="eastAsia" w:ascii="华文中宋" w:hAnsi="华文中宋" w:eastAsia="华文中宋"/>
                <w:b/>
                <w:color w:val="000000"/>
                <w:spacing w:val="-20"/>
                <w:sz w:val="44"/>
                <w:szCs w:val="44"/>
              </w:rPr>
              <w:t>广东华兴银行关于发行“映山红理财”安心回报系列</w:t>
            </w:r>
            <w:r>
              <w:rPr>
                <w:rFonts w:ascii="华文中宋" w:hAnsi="华文中宋" w:eastAsia="华文中宋"/>
                <w:b/>
                <w:color w:val="000000"/>
                <w:spacing w:val="-20"/>
                <w:sz w:val="44"/>
                <w:szCs w:val="44"/>
              </w:rPr>
              <w:t>人民币理财产品</w:t>
            </w:r>
            <w:r>
              <w:rPr>
                <w:rFonts w:hint="eastAsia" w:ascii="华文中宋" w:hAnsi="华文中宋" w:eastAsia="华文中宋"/>
                <w:b/>
                <w:spacing w:val="-20"/>
                <w:sz w:val="44"/>
                <w:szCs w:val="44"/>
              </w:rPr>
              <w:t>可行性评估报告</w:t>
            </w:r>
          </w:p>
        </w:tc>
      </w:tr>
    </w:tbl>
    <w:p>
      <w:pPr>
        <w:spacing w:line="660" w:lineRule="exact"/>
        <w:rPr>
          <w:rFonts w:ascii="仿宋_GB2312" w:eastAsia="仿宋_GB2312"/>
          <w:sz w:val="32"/>
          <w:szCs w:val="32"/>
        </w:rPr>
      </w:pPr>
    </w:p>
    <w:p>
      <w:pPr>
        <w:spacing w:line="660" w:lineRule="exact"/>
        <w:rPr>
          <w:rFonts w:ascii="仿宋_GB2312" w:eastAsia="仿宋_GB2312"/>
          <w:color w:val="000000"/>
          <w:sz w:val="32"/>
          <w:szCs w:val="32"/>
        </w:rPr>
      </w:pPr>
      <w:bookmarkStart w:id="1" w:name="zw"/>
      <w:bookmarkEnd w:id="1"/>
      <w:r>
        <w:rPr>
          <w:rFonts w:hint="eastAsia" w:ascii="仿宋_GB2312" w:eastAsia="仿宋_GB2312"/>
          <w:color w:val="000000"/>
          <w:sz w:val="32"/>
          <w:szCs w:val="32"/>
        </w:rPr>
        <w:t>中国银行保险监督管理委员会汕头监管分局：</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为满足广大客户的理财需求，提高金融服务水平，根据银保监会发布的《商业银行理财业务监督管理办法》（2018年第6号），我行拟于</w:t>
      </w:r>
      <w:r>
        <w:rPr>
          <w:rFonts w:hint="eastAsia" w:ascii="仿宋_GB2312" w:hAnsi="仿宋" w:eastAsia="仿宋_GB2312" w:cs="宋体"/>
          <w:color w:val="000000"/>
          <w:kern w:val="0"/>
          <w:sz w:val="32"/>
          <w:szCs w:val="32"/>
        </w:rPr>
        <w:t>近期</w:t>
      </w:r>
      <w:r>
        <w:rPr>
          <w:rFonts w:hint="eastAsia" w:ascii="仿宋_GB2312" w:hAnsi="仿宋" w:eastAsia="仿宋_GB2312"/>
          <w:color w:val="000000"/>
          <w:sz w:val="32"/>
          <w:szCs w:val="32"/>
        </w:rPr>
        <w:t>发行净值型人民币理财产品——“映山红理财”安心回报系列，现将有关情况报告如下：</w:t>
      </w:r>
    </w:p>
    <w:p>
      <w:pPr>
        <w:adjustRightInd w:val="0"/>
        <w:spacing w:line="54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一、产品要素</w:t>
      </w:r>
    </w:p>
    <w:p>
      <w:pPr>
        <w:adjustRightInd w:val="0"/>
        <w:spacing w:line="540" w:lineRule="exact"/>
        <w:ind w:firstLine="320" w:firstLineChars="100"/>
        <w:jc w:val="left"/>
        <w:rPr>
          <w:rFonts w:hint="eastAsia" w:ascii="黑体" w:hAnsi="黑体" w:eastAsia="黑体"/>
          <w:color w:val="000000"/>
          <w:sz w:val="32"/>
          <w:szCs w:val="32"/>
        </w:rPr>
      </w:pPr>
      <w:r>
        <w:rPr>
          <w:rFonts w:hint="eastAsia" w:ascii="黑体" w:hAnsi="黑体" w:eastAsia="黑体"/>
          <w:color w:val="000000"/>
          <w:sz w:val="32"/>
          <w:szCs w:val="32"/>
        </w:rPr>
        <w:t xml:space="preserve"> 广东华兴银行“映山红理财”安心回报系列人民币理财产品要素</w:t>
      </w:r>
    </w:p>
    <w:tbl>
      <w:tblPr>
        <w:tblStyle w:val="13"/>
        <w:tblW w:w="87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exact"/>
          <w:jc w:val="center"/>
        </w:trPr>
        <w:tc>
          <w:tcPr>
            <w:tcW w:w="2153" w:type="dxa"/>
            <w:noWrap w:val="0"/>
            <w:vAlign w:val="center"/>
          </w:tcPr>
          <w:p>
            <w:pPr>
              <w:pStyle w:val="30"/>
              <w:spacing w:line="252" w:lineRule="exact"/>
              <w:ind w:left="71"/>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名称</w:t>
            </w:r>
          </w:p>
        </w:tc>
        <w:tc>
          <w:tcPr>
            <w:tcW w:w="6568" w:type="dxa"/>
            <w:noWrap w:val="0"/>
            <w:vAlign w:val="center"/>
          </w:tcPr>
          <w:p>
            <w:pPr>
              <w:pStyle w:val="30"/>
              <w:spacing w:line="252" w:lineRule="exact"/>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映山红安心回报xx号净值型理财产品(YSHAXHBJxx)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exact"/>
          <w:jc w:val="center"/>
        </w:trPr>
        <w:tc>
          <w:tcPr>
            <w:tcW w:w="2153" w:type="dxa"/>
            <w:tcBorders>
              <w:bottom w:val="single" w:color="auto" w:sz="4" w:space="0"/>
            </w:tcBorders>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产品登记编码</w:t>
            </w:r>
          </w:p>
        </w:tc>
        <w:tc>
          <w:tcPr>
            <w:tcW w:w="6568" w:type="dxa"/>
            <w:tcBorders>
              <w:bottom w:val="single" w:color="auto" w:sz="4" w:space="0"/>
            </w:tcBorders>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C11709********,可依据该编码在“中国理财网”（www.chinawealth.com.cn）查询该产品信息。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exact"/>
          <w:jc w:val="center"/>
        </w:trPr>
        <w:tc>
          <w:tcPr>
            <w:tcW w:w="2153" w:type="dxa"/>
            <w:tcBorders>
              <w:bottom w:val="single" w:color="auto" w:sz="4" w:space="0"/>
            </w:tcBorders>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理财币种</w:t>
            </w:r>
          </w:p>
        </w:tc>
        <w:tc>
          <w:tcPr>
            <w:tcW w:w="6568" w:type="dxa"/>
            <w:tcBorders>
              <w:bottom w:val="single" w:color="auto" w:sz="4" w:space="0"/>
            </w:tcBorders>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jc w:val="center"/>
        </w:trPr>
        <w:tc>
          <w:tcPr>
            <w:tcW w:w="2153" w:type="dxa"/>
            <w:tcBorders>
              <w:top w:val="single" w:color="auto" w:sz="4" w:space="0"/>
            </w:tcBorders>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产品类型</w:t>
            </w:r>
          </w:p>
        </w:tc>
        <w:tc>
          <w:tcPr>
            <w:tcW w:w="6568" w:type="dxa"/>
            <w:tcBorders>
              <w:top w:val="single" w:color="auto" w:sz="4" w:space="0"/>
            </w:tcBorders>
            <w:noWrap w:val="0"/>
            <w:vAlign w:val="center"/>
          </w:tcPr>
          <w:p>
            <w:pPr>
              <w:pStyle w:val="30"/>
              <w:ind w:left="0"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固定收益类（投资类型）、非保本净值型、封闭式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本金及理财收益</w:t>
            </w:r>
          </w:p>
        </w:tc>
        <w:tc>
          <w:tcPr>
            <w:tcW w:w="6568" w:type="dxa"/>
            <w:noWrap w:val="0"/>
            <w:vAlign w:val="center"/>
          </w:tcPr>
          <w:p>
            <w:pPr>
              <w:pStyle w:val="30"/>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投资者持有本理财计划到期，本理财计划不保障本金及理财收益。</w:t>
            </w:r>
          </w:p>
          <w:p>
            <w:pPr>
              <w:pStyle w:val="30"/>
              <w:spacing w:before="69" w:line="297" w:lineRule="auto"/>
              <w:ind w:right="100"/>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在理财计划到期前，本理财计划的收益随投资收益浮动。详细内容见“理财计划估值和净值”、“理财计划赎回”和“到期支付”。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理财期限</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本理财计划期限为x天，到期日为202x年x月x日。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理财计划份额</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理财计划份额以人民币计价，单位1份。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理财计划份额面值</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每份理财计划份额面值为人民币1元。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发行规模</w:t>
            </w:r>
          </w:p>
        </w:tc>
        <w:tc>
          <w:tcPr>
            <w:tcW w:w="6568" w:type="dxa"/>
            <w:noWrap w:val="0"/>
            <w:vAlign w:val="center"/>
          </w:tcPr>
          <w:p>
            <w:pPr>
              <w:pStyle w:val="30"/>
              <w:spacing w:before="67" w:line="240"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募集上限30亿元（广东华兴银行有权进行调整）。募集期满，产品募集总额小于0.1亿元时，广东华兴银行有权取消该期产品发行。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认购起点</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1元人民币为1份，首次投资最低份额为*万份；超出首次投资最</w:t>
            </w:r>
          </w:p>
          <w:p>
            <w:pPr>
              <w:pStyle w:val="30"/>
              <w:spacing w:before="69" w:line="295" w:lineRule="auto"/>
              <w:ind w:right="96"/>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低份额部分，须为1千份的整数倍；详细内容见以下“理财计划认购”。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7"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业绩基准区间（年化）</w:t>
            </w:r>
          </w:p>
        </w:tc>
        <w:tc>
          <w:tcPr>
            <w:tcW w:w="6568" w:type="dxa"/>
            <w:noWrap w:val="0"/>
            <w:vAlign w:val="center"/>
          </w:tcPr>
          <w:p>
            <w:pPr>
              <w:pStyle w:val="30"/>
              <w:spacing w:line="276" w:lineRule="auto"/>
              <w:ind w:left="0" w:right="-22" w:firstLine="0" w:firstLineChars="0"/>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本产品为固定收益类产品，主要投资于固定收益类资产，同时辅以权益类策略。</w:t>
            </w:r>
          </w:p>
          <w:p>
            <w:pPr>
              <w:pStyle w:val="30"/>
              <w:spacing w:line="276" w:lineRule="auto"/>
              <w:ind w:left="0" w:right="-22" w:firstLine="0" w:firstLineChars="0"/>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业绩比较基准测算：以产品投资存款，债券、债券型基金等固定收益类资产比例不低于80%，其他权益类资产合计0-20%，考虑期限收益、资本利得收益、产品费用等因素，并结合产品投资策略进行测算得出该产品业绩基准为【x%-y%】（业绩比较基准仅供参考，具体投资比例可根据各类资产的收益水平，流动性特征、信用风险等因素调整，投资范围、投资比例、投资策略详细内容见本《产品说明书》之“投资方向及范围”。</w:t>
            </w:r>
          </w:p>
          <w:p>
            <w:pPr>
              <w:pStyle w:val="30"/>
              <w:spacing w:line="276" w:lineRule="auto"/>
              <w:ind w:left="0"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本产品为净值型产品，业绩表现将随市场波动，具有不确定性。业</w:t>
            </w:r>
          </w:p>
          <w:p>
            <w:pPr>
              <w:pStyle w:val="30"/>
              <w:spacing w:line="276" w:lineRule="auto"/>
              <w:ind w:left="0"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绩比较基准是本机构基于产品性质、投资策略、过往经验等因素对产品设定的投资目标，仅作为管理人超额业绩报酬计提基准，不代表产品未来表现和实际收益，不构成对产品收益的承诺。</w:t>
            </w:r>
          </w:p>
          <w:p>
            <w:pPr>
              <w:pStyle w:val="30"/>
              <w:spacing w:line="276" w:lineRule="auto"/>
              <w:ind w:left="0" w:right="-22"/>
              <w:jc w:val="both"/>
              <w:rPr>
                <w:rFonts w:hint="eastAsia" w:ascii="仿宋_GB2312" w:hAnsi="仿宋" w:eastAsia="仿宋_GB2312" w:cs="Times New Roman"/>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认购期</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20xx年xx月xx日到20xx年xx月xx日，认购期内认</w:t>
            </w:r>
          </w:p>
          <w:p>
            <w:pPr>
              <w:pStyle w:val="30"/>
              <w:spacing w:before="69" w:line="240"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购资金以活期计付利息。详细内容见以下“理财计划认购”。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认购登记日</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20xx年xx月xx日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理财计划成立日</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20xx年xx月xx日，理财计划自成立日开始计算收益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exact"/>
          <w:jc w:val="center"/>
        </w:trPr>
        <w:tc>
          <w:tcPr>
            <w:tcW w:w="2153" w:type="dxa"/>
            <w:noWrap w:val="0"/>
            <w:vAlign w:val="center"/>
          </w:tcPr>
          <w:p>
            <w:pPr>
              <w:pStyle w:val="30"/>
              <w:spacing w:line="250" w:lineRule="exact"/>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理财计划到期日</w:t>
            </w:r>
          </w:p>
        </w:tc>
        <w:tc>
          <w:tcPr>
            <w:tcW w:w="6568" w:type="dxa"/>
            <w:noWrap w:val="0"/>
            <w:vAlign w:val="center"/>
          </w:tcPr>
          <w:p>
            <w:pPr>
              <w:pStyle w:val="30"/>
              <w:spacing w:line="250" w:lineRule="exact"/>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20xx年xx月xx日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2153" w:type="dxa"/>
            <w:noWrap w:val="0"/>
            <w:vAlign w:val="center"/>
          </w:tcPr>
          <w:p>
            <w:pPr>
              <w:pStyle w:val="30"/>
              <w:spacing w:line="252" w:lineRule="exact"/>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理财计划申购</w:t>
            </w:r>
          </w:p>
        </w:tc>
        <w:tc>
          <w:tcPr>
            <w:tcW w:w="6568" w:type="dxa"/>
            <w:noWrap w:val="0"/>
            <w:vAlign w:val="center"/>
          </w:tcPr>
          <w:p>
            <w:pPr>
              <w:pStyle w:val="30"/>
              <w:spacing w:line="252" w:lineRule="exact"/>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本理财计划成立后不开放申购/赎回。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exact"/>
          <w:jc w:val="center"/>
        </w:trPr>
        <w:tc>
          <w:tcPr>
            <w:tcW w:w="2153" w:type="dxa"/>
            <w:noWrap w:val="0"/>
            <w:vAlign w:val="center"/>
          </w:tcPr>
          <w:p>
            <w:pPr>
              <w:pStyle w:val="30"/>
              <w:spacing w:line="252" w:lineRule="exact"/>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托管费率</w:t>
            </w:r>
          </w:p>
        </w:tc>
        <w:tc>
          <w:tcPr>
            <w:tcW w:w="6568" w:type="dxa"/>
            <w:noWrap w:val="0"/>
            <w:vAlign w:val="center"/>
          </w:tcPr>
          <w:p>
            <w:pPr>
              <w:pStyle w:val="30"/>
              <w:spacing w:line="276"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销售手续费率</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固定管理费：</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固定管理费：xx%。广东华兴银行收取理财计划固定管理费，按日计提，理财计划到期日支付。固定管理费精确到小数点后2位，小数点2位以后舍位。固定管理费=前一日理财计划资产净值×0.8%÷365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固定管理费减免条款</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理财计划投资周期内累计净值年化增长率低于业绩基准区间下限时，管理人将部分或全部减免已计提未支付的管理费。详细内容见以下“理财计划相关费用”。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超额收益管理费</w:t>
            </w:r>
          </w:p>
        </w:tc>
        <w:tc>
          <w:tcPr>
            <w:tcW w:w="6568" w:type="dxa"/>
            <w:noWrap w:val="0"/>
            <w:vAlign w:val="center"/>
          </w:tcPr>
          <w:p>
            <w:pPr>
              <w:pStyle w:val="30"/>
              <w:spacing w:line="240" w:lineRule="auto"/>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理财计划投资周期内累计净值年化增长率（扣除超额收益及超额收益管理费前）超过业绩基准区间上限的，超过部分为超额收益。管理人提取超额收益的y%作为超额收益管理费。</w:t>
            </w:r>
          </w:p>
          <w:p>
            <w:pPr>
              <w:pStyle w:val="30"/>
              <w:spacing w:line="240" w:lineRule="auto"/>
              <w:ind w:left="0"/>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详细内容见以下“理财计划相关费用”。</w:t>
            </w:r>
          </w:p>
          <w:p>
            <w:pPr>
              <w:pStyle w:val="30"/>
              <w:ind w:right="-22"/>
              <w:jc w:val="both"/>
              <w:rPr>
                <w:rFonts w:hint="eastAsia" w:ascii="仿宋_GB2312" w:hAnsi="仿宋" w:eastAsia="仿宋_GB2312" w:cs="Times New Roman"/>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估值日</w:t>
            </w:r>
          </w:p>
        </w:tc>
        <w:tc>
          <w:tcPr>
            <w:tcW w:w="6568" w:type="dxa"/>
            <w:noWrap w:val="0"/>
            <w:vAlign w:val="center"/>
          </w:tcPr>
          <w:p>
            <w:pPr>
              <w:pStyle w:val="30"/>
              <w:spacing w:line="276" w:lineRule="auto"/>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本理财计划收益率随投资收益变化，每一个自然日为估值日，广东华兴银行定期公布扣除各项费用（包括固定管理费等）后的理财计划净值。详细内容见以下“理财计划估值和净值”。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认购清算期</w:t>
            </w:r>
          </w:p>
        </w:tc>
        <w:tc>
          <w:tcPr>
            <w:tcW w:w="6568" w:type="dxa"/>
            <w:noWrap w:val="0"/>
            <w:vAlign w:val="center"/>
          </w:tcPr>
          <w:p>
            <w:pPr>
              <w:pStyle w:val="30"/>
              <w:spacing w:line="276"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认购登记日到成立日期间为认购清算期，到期日（或理财计划实际</w:t>
            </w:r>
          </w:p>
          <w:p>
            <w:pPr>
              <w:pStyle w:val="30"/>
              <w:spacing w:before="69" w:line="276"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终止日）到理财资金返还到账日为还本清算期。理财资金在认购清算期内以活期利率计付利息。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认购方式</w:t>
            </w:r>
          </w:p>
        </w:tc>
        <w:tc>
          <w:tcPr>
            <w:tcW w:w="6568" w:type="dxa"/>
            <w:noWrap w:val="0"/>
            <w:vAlign w:val="center"/>
          </w:tcPr>
          <w:p>
            <w:pPr>
              <w:pStyle w:val="30"/>
              <w:spacing w:line="276"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投资者可通过广东华兴银行各营业网点认购本理财计划，广东华兴银行有权但无义务开放网上银行或其他代销平台办理认购。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2153" w:type="dxa"/>
            <w:noWrap w:val="0"/>
            <w:vAlign w:val="center"/>
          </w:tcPr>
          <w:p>
            <w:pPr>
              <w:pStyle w:val="30"/>
              <w:spacing w:line="240" w:lineRule="auto"/>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节日</w:t>
            </w:r>
          </w:p>
        </w:tc>
        <w:tc>
          <w:tcPr>
            <w:tcW w:w="6568" w:type="dxa"/>
            <w:noWrap w:val="0"/>
            <w:vAlign w:val="center"/>
          </w:tcPr>
          <w:p>
            <w:pPr>
              <w:pStyle w:val="30"/>
              <w:spacing w:line="276"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中国法定公假日。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2153" w:type="dxa"/>
            <w:noWrap w:val="0"/>
            <w:vAlign w:val="center"/>
          </w:tcPr>
          <w:p>
            <w:pPr>
              <w:pStyle w:val="30"/>
              <w:spacing w:line="240" w:lineRule="auto"/>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工作日</w:t>
            </w:r>
          </w:p>
        </w:tc>
        <w:tc>
          <w:tcPr>
            <w:tcW w:w="6568" w:type="dxa"/>
            <w:noWrap w:val="0"/>
            <w:vAlign w:val="center"/>
          </w:tcPr>
          <w:p>
            <w:pPr>
              <w:pStyle w:val="30"/>
              <w:spacing w:line="240"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除去周六、周日及法定节假日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提前终止</w:t>
            </w:r>
          </w:p>
        </w:tc>
        <w:tc>
          <w:tcPr>
            <w:tcW w:w="6568" w:type="dxa"/>
            <w:noWrap w:val="0"/>
            <w:vAlign w:val="center"/>
          </w:tcPr>
          <w:p>
            <w:pPr>
              <w:pStyle w:val="30"/>
              <w:spacing w:line="276" w:lineRule="auto"/>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在理财计划存续期内广东华兴银行有权宣布提前终止本理财计划，详细内容见以下“提前终止”。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对账单</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本理财计划不提供对账单。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exact"/>
          <w:jc w:val="center"/>
        </w:trPr>
        <w:tc>
          <w:tcPr>
            <w:tcW w:w="2153" w:type="dxa"/>
            <w:noWrap w:val="0"/>
            <w:vAlign w:val="center"/>
          </w:tcPr>
          <w:p>
            <w:pPr>
              <w:pStyle w:val="30"/>
              <w:ind w:left="103"/>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税款</w:t>
            </w:r>
          </w:p>
        </w:tc>
        <w:tc>
          <w:tcPr>
            <w:tcW w:w="6568" w:type="dxa"/>
            <w:noWrap w:val="0"/>
            <w:vAlign w:val="center"/>
          </w:tcPr>
          <w:p>
            <w:pPr>
              <w:pStyle w:val="30"/>
              <w:ind w:right="-22"/>
              <w:jc w:val="both"/>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s="Times New Roman"/>
                <w:color w:val="000000"/>
                <w:kern w:val="2"/>
                <w:sz w:val="21"/>
                <w:szCs w:val="21"/>
                <w:lang w:val="en-US" w:eastAsia="zh-CN" w:bidi="ar-SA"/>
              </w:rPr>
              <w:t>理财收益的应纳税款，投资者自行申报及缴纳。</w:t>
            </w:r>
          </w:p>
        </w:tc>
      </w:tr>
    </w:tbl>
    <w:p>
      <w:pPr>
        <w:adjustRightInd w:val="0"/>
        <w:spacing w:line="540" w:lineRule="exact"/>
        <w:ind w:firstLine="320" w:firstLineChars="100"/>
        <w:jc w:val="left"/>
        <w:rPr>
          <w:rFonts w:hint="eastAsia" w:ascii="黑体" w:hAnsi="黑体" w:eastAsia="黑体"/>
          <w:color w:val="000000"/>
          <w:sz w:val="32"/>
          <w:szCs w:val="32"/>
        </w:rPr>
      </w:pPr>
    </w:p>
    <w:p>
      <w:pPr>
        <w:adjustRightInd w:val="0"/>
        <w:spacing w:line="54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二、产品特点</w:t>
      </w:r>
    </w:p>
    <w:p>
      <w:pPr>
        <w:pStyle w:val="5"/>
        <w:spacing w:line="297" w:lineRule="auto"/>
        <w:ind w:left="222" w:firstLine="439"/>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本理财计划募集的资金投资于固定收益类资产以及权益类资产。其中固定收益类资产包括：国债、金融债、央票、企业债、公司债、短融、中票、私募债、同业存款、资金拆借、债券回购、等固定收益工具和投资固定收益资产的信托计划、定向资产管理计划等资产管理计划，投资比例为理财计划资产的80％～100％；权益类资产包括通过信托计划、券商资产管理计划、基金子公司资产管理计划等通道投资于股票市场、股票定向增发、风险缓冲型定向增发项目、可转债、高收益债、对冲基金等权益类资产组合，其中权益类资产投资比例不超过20%。（产品说明书另有规定的除外）</w:t>
      </w:r>
    </w:p>
    <w:p>
      <w:pPr>
        <w:spacing w:before="17" w:line="297" w:lineRule="auto"/>
        <w:ind w:left="142" w:right="326" w:firstLine="640" w:firstLineChars="200"/>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理财产品存续期内可能因市场的重大变化导致投资比例暂时超出如下区间，银行将在合理范围内尽最大努力，以客户利益最大化为原则尽快使投资比例恢复至如下规定区间。同时银行有权根据市场实际情况，在不对客户实质性权益产生重大影响且按约公告的前提下，对本理财产品的投资种类和投资比例进行调整。投资者若对此有异议，可随时申请赎回。</w:t>
      </w:r>
    </w:p>
    <w:p>
      <w:pPr>
        <w:adjustRightInd w:val="0"/>
        <w:spacing w:line="54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三、目标客户群分析</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按照理财规划原理，我们根据客户的风险属性把客户细分为五种类型，具体如下：</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（一）保守型：客户偏向于低风险产品的投资，风险承担能力一般，作风谨慎，比较适合投资本金损失风险很小的理财产品； </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（二）谨慎型：客户可以承担低至中等级别风险的投资，适合投资于本金风险相对较小、具有一定升值能力的投资工具；</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（三）稳健型：客户可以承担中等级别的风险，适合投资于具有温和升值潜力而投资价值有温和波动的理财产品；</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（四）进取型：客户可以承担中等至高级别的风险，适合投资于具有升值潜力，但投资价值存在波动的理财产品；</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（五）激进型：客户可以承受高级别的风险，适合投资于具有高升值潜力但投资价值存在大幅度波动的投资工具，具有承受失去全部投资本金和收益的能力。</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上述理财产品具有资金投向较安全、预计收益较高、流动性良好等特点。但客户仍面临一定的市场风险、信用风险和流动性风险等风险。在实际销售中，我行将充分揭示产品风险，提醒客户谨慎投资。</w:t>
      </w:r>
    </w:p>
    <w:p>
      <w:pPr>
        <w:adjustRightInd w:val="0"/>
        <w:spacing w:line="54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四、资金成本与业</w:t>
      </w:r>
      <w:r>
        <w:rPr>
          <w:rFonts w:hint="eastAsia" w:ascii="黑体" w:hAnsi="黑体" w:eastAsia="黑体"/>
          <w:color w:val="000000"/>
          <w:sz w:val="32"/>
          <w:szCs w:val="32"/>
          <w:lang w:eastAsia="zh-CN"/>
        </w:rPr>
        <w:t>绩</w:t>
      </w:r>
      <w:r>
        <w:rPr>
          <w:rFonts w:hint="eastAsia" w:ascii="黑体" w:hAnsi="黑体" w:eastAsia="黑体"/>
          <w:color w:val="000000"/>
          <w:sz w:val="32"/>
          <w:szCs w:val="32"/>
        </w:rPr>
        <w:t>比较基准测算</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银行资金成本：成本分成两部分，一部分是固定成本，另一部分是变动成本。固定成本主要是经营管理成本，如网点资源、单位内部协调和内控管理等，这是我行现有资源，不需要重新投入，对本产品成本影响不大。变动成本主要是我行的宣传费用和营销人员费用，随着产品的新发推广至市场成熟，该部分成本将逐步缩小。</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（二）银行收益：</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银行管理费收入：如投资者在持有本理财计划期间年化收益率低于8%，则我行收取固定管理费；如投资者在持有本理财计划期间年化收益超过8%，则我行将收取超过8%部分的10%作为浮动管理费；如投资者在持有本理财计划期间年化收益达到15%，则将收取超过8%部分的10%和超过15%的20%作为浮动管理费 。</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2、理财产品提高了客户对我行的忠诚度和满意度。我行开办净值型理财业务，顺应了资管市场的未来发展趋势，在为客户提供更专业化的服务的同时，也提升了我行的企业形象，有利于推广我行的企业品牌。</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（三）产品收益分析</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我行作为理财产品发行方，有权收取产品销售费和管理费等费用。理财资产总值扣除托管银行收取的托管费、我行收取的销售手续费、固定资产管理费、浮动资产管理费（如有）以及其他由理财资产承担的相关费用后，为客户投资收益。假设理财总收益6.85%，扣减我行收取的销售手续费0.20%，资产管理费0.80%，托管银行托管费用0.0</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%，则客户投资理财年化收益率为5.8</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p>
    <w:p>
      <w:pPr>
        <w:adjustRightInd w:val="0"/>
        <w:spacing w:line="54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五、产品收益及风险示例</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情景一：扣除托管费、销售手续费后，投资收益超过8%。假设某客户投资10万元，购买时净值为1.00元，折算份额为100,000份。90天产品到期，其持有份额不变，扣除托管费、销售手续费后净值为1.0200，则投资期间年化收益率为：</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（1.0200-1）×365÷90=8.11%＞8.0%。</w:t>
      </w:r>
    </w:p>
    <w:p>
      <w:pPr>
        <w:spacing w:line="570" w:lineRule="exact"/>
        <w:rPr>
          <w:rFonts w:ascii="仿宋_GB2312" w:hAnsi="仿宋" w:eastAsia="仿宋_GB2312"/>
          <w:color w:val="000000"/>
          <w:sz w:val="32"/>
          <w:szCs w:val="32"/>
        </w:rPr>
      </w:pPr>
      <w:r>
        <w:rPr>
          <w:rFonts w:hint="eastAsia" w:ascii="仿宋_GB2312" w:hAnsi="仿宋" w:eastAsia="仿宋_GB2312"/>
          <w:color w:val="000000"/>
          <w:sz w:val="32"/>
          <w:szCs w:val="32"/>
        </w:rPr>
        <w:t>浮动管理费为：</w:t>
      </w:r>
    </w:p>
    <w:p>
      <w:pPr>
        <w:spacing w:line="570" w:lineRule="exact"/>
        <w:rPr>
          <w:rFonts w:ascii="仿宋_GB2312" w:hAnsi="仿宋" w:eastAsia="仿宋_GB2312"/>
          <w:color w:val="000000"/>
          <w:sz w:val="32"/>
          <w:szCs w:val="32"/>
        </w:rPr>
      </w:pPr>
      <w:r>
        <w:rPr>
          <w:rFonts w:hint="eastAsia" w:ascii="仿宋_GB2312" w:hAnsi="仿宋" w:eastAsia="仿宋_GB2312"/>
          <w:color w:val="000000"/>
          <w:sz w:val="32"/>
          <w:szCs w:val="32"/>
        </w:rPr>
        <w:t>100,000.00×[1.0200-1×(1+8.0%×90÷365)]×10.00%=2.74元</w:t>
      </w:r>
    </w:p>
    <w:p>
      <w:pPr>
        <w:spacing w:line="570" w:lineRule="exact"/>
        <w:rPr>
          <w:rFonts w:ascii="仿宋_GB2312" w:hAnsi="仿宋" w:eastAsia="仿宋_GB2312"/>
          <w:color w:val="000000"/>
          <w:sz w:val="32"/>
          <w:szCs w:val="32"/>
        </w:rPr>
      </w:pPr>
      <w:r>
        <w:rPr>
          <w:rFonts w:hint="eastAsia" w:ascii="仿宋_GB2312" w:hAnsi="仿宋" w:eastAsia="仿宋_GB2312"/>
          <w:color w:val="000000"/>
          <w:sz w:val="32"/>
          <w:szCs w:val="32"/>
        </w:rPr>
        <w:t>获得本金及收益为：</w:t>
      </w:r>
    </w:p>
    <w:p>
      <w:pPr>
        <w:spacing w:line="570"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100,000.00×1.0200-2.74=</w:t>
      </w:r>
      <w:r>
        <w:rPr>
          <w:rFonts w:ascii="仿宋_GB2312" w:hAnsi="仿宋" w:eastAsia="仿宋_GB2312"/>
          <w:color w:val="000000"/>
          <w:sz w:val="32"/>
          <w:szCs w:val="32"/>
        </w:rPr>
        <w:t>101</w:t>
      </w:r>
      <w:r>
        <w:rPr>
          <w:rFonts w:hint="eastAsia" w:ascii="仿宋_GB2312" w:hAnsi="仿宋" w:eastAsia="仿宋_GB2312"/>
          <w:color w:val="000000"/>
          <w:sz w:val="32"/>
          <w:szCs w:val="32"/>
        </w:rPr>
        <w:t>,</w:t>
      </w:r>
      <w:r>
        <w:rPr>
          <w:rFonts w:ascii="仿宋_GB2312" w:hAnsi="仿宋" w:eastAsia="仿宋_GB2312"/>
          <w:color w:val="000000"/>
          <w:sz w:val="32"/>
          <w:szCs w:val="32"/>
        </w:rPr>
        <w:t>997.26</w:t>
      </w:r>
      <w:r>
        <w:rPr>
          <w:rFonts w:hint="eastAsia" w:ascii="仿宋_GB2312" w:hAnsi="仿宋" w:eastAsia="仿宋_GB2312"/>
          <w:color w:val="000000"/>
          <w:sz w:val="32"/>
          <w:szCs w:val="32"/>
        </w:rPr>
        <w:t>元</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情景二：扣除托管费、销售手续费后，投资收益未达到8%。假设某客户投资10万元，购买时净值为1.00元，折算份额为100,000份。90天产品到期，其持有份额不变，扣除托管费、销售手续费后净值为1.0100，则投资期间年化收益率为：</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（1.0100-1）×365÷90=4.05%＜8.0%。</w:t>
      </w:r>
    </w:p>
    <w:p>
      <w:pPr>
        <w:spacing w:line="570" w:lineRule="exact"/>
        <w:rPr>
          <w:rFonts w:ascii="仿宋_GB2312" w:hAnsi="仿宋" w:eastAsia="仿宋_GB2312"/>
          <w:color w:val="000000"/>
          <w:sz w:val="32"/>
          <w:szCs w:val="32"/>
        </w:rPr>
      </w:pPr>
      <w:r>
        <w:rPr>
          <w:rFonts w:hint="eastAsia" w:ascii="仿宋_GB2312" w:hAnsi="仿宋" w:eastAsia="仿宋_GB2312"/>
          <w:color w:val="000000"/>
          <w:sz w:val="32"/>
          <w:szCs w:val="32"/>
        </w:rPr>
        <w:t>则投资管理人不收取浮动管理费，客户获得本金及收益为：</w:t>
      </w:r>
    </w:p>
    <w:p>
      <w:pPr>
        <w:spacing w:line="570"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100,000.00×1.0100=101,000.00元</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情景三：扣除托管费、销售手续费后，投资发生亏损。假设某客户投资10万元，购买时净值为1.00元，折算份额为100,000份。90天产品到期，其持有份额不变，扣除托管费、销售手续费后净值为0.9900，则客户最终获得本金及收益为：</w:t>
      </w:r>
    </w:p>
    <w:p>
      <w:pPr>
        <w:spacing w:line="570" w:lineRule="exact"/>
        <w:ind w:firstLine="800" w:firstLineChars="250"/>
        <w:rPr>
          <w:rFonts w:ascii="仿宋_GB2312" w:hAnsi="仿宋" w:eastAsia="仿宋_GB2312"/>
          <w:color w:val="000000"/>
          <w:sz w:val="32"/>
          <w:szCs w:val="32"/>
        </w:rPr>
      </w:pPr>
      <w:r>
        <w:rPr>
          <w:rFonts w:hint="eastAsia" w:ascii="仿宋_GB2312" w:hAnsi="仿宋" w:eastAsia="仿宋_GB2312"/>
          <w:color w:val="000000"/>
          <w:sz w:val="32"/>
          <w:szCs w:val="32"/>
        </w:rPr>
        <w:t>100,000.00×0.99=99,000.00元</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如发生信用风险或其他风险，在最不利的情况下，客户可能甚至损失理财本金。此种情况下，我行会依照有关法律约定或合同约定向有关责任方行使追索权。</w:t>
      </w:r>
    </w:p>
    <w:p>
      <w:pPr>
        <w:adjustRightInd w:val="0"/>
        <w:spacing w:line="54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六、产品风险防范措施</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我行对于发行理财产品的各种风险积极采取防范措施，主要包括：</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（一）发行风险</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我行通过在理财产品发售前进行充分的市场调查，对客户需求进行科学的预测，由此确定发行规模。在募集期间，把握理财产品的发售情况，控制产品发售规模，避免出现产品发行不成立的风险。</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（二）声誉风险</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了防范此类风险，在经营业务过程中我行将向接受服务的客户充分揭示理财风险，明示我行与客户的权利、义务及风险责任关系，保证全面、客观、准确地对产品进行宣传和信息披露，同时对理财业务人员进行严格的业务培训和业务监督，维护我行良好声誉。</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（三）操作风险</w:t>
      </w:r>
    </w:p>
    <w:p>
      <w:pPr>
        <w:adjustRightInd w:val="0"/>
        <w:spacing w:line="54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我行严格按照理财业务管理办法规定，采取以下措施防范操作风险：</w:t>
      </w:r>
    </w:p>
    <w:p>
      <w:pPr>
        <w:adjustRightInd w:val="0"/>
        <w:spacing w:line="54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1.清楚划分相关业务运作岗位的职责，采取充分的隔离措施，避免内部冲突可能给客户造成的损害。</w:t>
      </w:r>
    </w:p>
    <w:p>
      <w:pPr>
        <w:adjustRightInd w:val="0"/>
        <w:spacing w:line="54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2.严格将理财业务交易的交易人员与我行自营业务的交易人员相分离。</w:t>
      </w:r>
    </w:p>
    <w:p>
      <w:pPr>
        <w:adjustRightInd w:val="0"/>
        <w:spacing w:line="54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3.严格将理财业务和自营业务分开管理、分账核算。设立理财资金核算专户，建立理财业务明细账，明确理财资金的拨付、回收、核对等手续，按照合同的约定办理资金划转手续，同时建立理财业务档案，记录业务的相关要素和信息。</w:t>
      </w:r>
    </w:p>
    <w:p>
      <w:pPr>
        <w:adjustRightInd w:val="0"/>
        <w:spacing w:line="54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4.理财业务的内部监督部门和审计部门独立于理财业务的运营部门，适时对理财业务的运营情况进行监督检查和审计，并直接向董事会和高级管理层报告。</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（四）市场风险</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我行将在对理财产品的市场变化做出科学合理的预测的基础上，进行相应的资金成本和收益测算，并据此明确产品的期限及有关市场风险的监测和控制措施，严格按照“成本可算、风险可控”的原则设计开发产品，不销售无市场分析预测、无产品期限划分、无风险管控预案的理财产品。</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（五）信用风险</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理财资金投资的信用产品要求资产规模要达到一定程度的国有大中型企业或银行机构，分析所在行业的周期性风险，优先考虑具备优质主体担保的产品。</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（六）信息披露风险</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理财产品的发行信息（理财产品说明书、风险提示函、宣传资料和销售协议书）、理财估值和其他信息（诸如产品提前中止）都会通过我行网站和网点及时公布。</w:t>
      </w:r>
    </w:p>
    <w:p>
      <w:pPr>
        <w:adjustRightInd w:val="0"/>
        <w:spacing w:line="54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七、应急预案</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对于理财产品业务运作中可能出现不仅限于以下的突发事件，我行已准备应急预案。</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（一）理财运行过程中的风险</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我行理财产品设计部门和运作部门会恪尽职守，定期对资金运作收益情况进行跟踪，排查风险。由于理财资金管理运用过程中，可能会面临多种风险因素，最不利投资情形和投资结果主要表现为：产品到期可能发现延期支付；产品投资的资产折价变现，可能影响产品收益实现乃至本金的全额赎回。发生上述可能结果后，我行将及时公示投资者，并以理财计划投资管理人名义，依照法律法规相关规定以及代表理财计划份额持有人的利益行使代为追索的权利（包括但不限于提起诉讼/仲裁、申请保全/执行的权利）或者实施其他法律行为。</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（二）产品发行不成立的情形</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理财产品实际销售规模低于1000万元，我行选择终止理财产品时，我行将通过公开渠道及时通知投资者，充分做好信息披露和投资者解释工作，避免由于信息披露不充分、不及时而产生的投诉事件发生。</w:t>
      </w:r>
    </w:p>
    <w:p>
      <w:pPr>
        <w:adjustRightInd w:val="0"/>
        <w:spacing w:line="540" w:lineRule="exact"/>
        <w:ind w:firstLine="640" w:firstLineChars="200"/>
        <w:jc w:val="left"/>
        <w:rPr>
          <w:rFonts w:ascii="楷体" w:hAnsi="楷体" w:eastAsia="楷体"/>
          <w:color w:val="000000"/>
          <w:sz w:val="32"/>
          <w:szCs w:val="32"/>
        </w:rPr>
      </w:pPr>
      <w:r>
        <w:rPr>
          <w:rFonts w:hint="eastAsia" w:ascii="楷体" w:hAnsi="楷体" w:eastAsia="楷体"/>
          <w:color w:val="000000"/>
          <w:sz w:val="32"/>
          <w:szCs w:val="32"/>
        </w:rPr>
        <w:t>（三）关于其他突发事件的处理</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对于出现其他突发事件，我行将按照《广东华兴银行个人理财产品应急管理办法》、《广东华兴银行公司理财业务连续性应急管理办法》规定处理。</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综上所述，我行“映山红理财”安心回报系列理财产品投资稳健，具有较好的流动性，能够满足客户理财需求，我行计划近期正式对外发售。</w:t>
      </w:r>
    </w:p>
    <w:p>
      <w:pPr>
        <w:spacing w:line="57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专此报告。</w:t>
      </w:r>
    </w:p>
    <w:p>
      <w:pPr>
        <w:spacing w:line="570" w:lineRule="exact"/>
        <w:rPr>
          <w:rFonts w:ascii="仿宋_GB2312" w:hAnsi="仿宋" w:eastAsia="仿宋_GB2312"/>
          <w:color w:val="000000"/>
          <w:sz w:val="32"/>
          <w:szCs w:val="32"/>
        </w:rPr>
      </w:pPr>
    </w:p>
    <w:p>
      <w:pPr>
        <w:adjustRightInd w:val="0"/>
        <w:spacing w:line="570" w:lineRule="exact"/>
        <w:ind w:firstLine="640" w:firstLineChars="200"/>
        <w:jc w:val="right"/>
        <w:rPr>
          <w:rFonts w:ascii="仿宋_GB2312" w:eastAsia="仿宋_GB2312"/>
          <w:color w:val="000000"/>
          <w:sz w:val="32"/>
          <w:szCs w:val="20"/>
        </w:rPr>
      </w:pPr>
      <w:r>
        <w:rPr>
          <w:rFonts w:hint="eastAsia" w:ascii="仿宋" w:hAnsi="仿宋" w:eastAsia="仿宋"/>
          <w:color w:val="000000"/>
          <w:sz w:val="32"/>
          <w:szCs w:val="32"/>
        </w:rPr>
        <w:t xml:space="preserve">                 </w:t>
      </w:r>
      <w:r>
        <w:rPr>
          <w:rFonts w:hint="eastAsia" w:ascii="仿宋_GB2312" w:eastAsia="仿宋_GB2312"/>
          <w:color w:val="000000"/>
          <w:sz w:val="32"/>
          <w:szCs w:val="20"/>
        </w:rPr>
        <w:t>广东华兴银行股份有限公司</w:t>
      </w:r>
    </w:p>
    <w:p>
      <w:pPr>
        <w:adjustRightInd w:val="0"/>
        <w:spacing w:line="570" w:lineRule="exact"/>
        <w:ind w:firstLine="4160" w:firstLineChars="1300"/>
        <w:jc w:val="right"/>
        <w:rPr>
          <w:rFonts w:ascii="仿宋_GB2312" w:eastAsia="仿宋_GB2312"/>
          <w:color w:val="000000"/>
          <w:sz w:val="32"/>
          <w:szCs w:val="20"/>
        </w:rPr>
      </w:pPr>
      <w:r>
        <w:rPr>
          <w:rFonts w:hint="eastAsia" w:ascii="仿宋_GB2312" w:eastAsia="仿宋_GB2312"/>
          <w:color w:val="000000"/>
          <w:sz w:val="32"/>
          <w:szCs w:val="20"/>
        </w:rPr>
        <w:t xml:space="preserve">  </w:t>
      </w:r>
      <w:r>
        <w:rPr>
          <w:rFonts w:ascii="仿宋_GB2312" w:eastAsia="仿宋_GB2312"/>
          <w:color w:val="000000"/>
          <w:sz w:val="32"/>
          <w:szCs w:val="20"/>
        </w:rPr>
        <w:t>20</w:t>
      </w:r>
      <w:r>
        <w:rPr>
          <w:rFonts w:hint="eastAsia" w:ascii="仿宋_GB2312" w:eastAsia="仿宋_GB2312"/>
          <w:color w:val="000000"/>
          <w:sz w:val="32"/>
          <w:szCs w:val="20"/>
          <w:lang w:val="en-US" w:eastAsia="zh-CN"/>
        </w:rPr>
        <w:t>24</w:t>
      </w:r>
      <w:r>
        <w:rPr>
          <w:rFonts w:hint="eastAsia" w:ascii="仿宋_GB2312" w:eastAsia="仿宋_GB2312"/>
          <w:color w:val="000000"/>
          <w:sz w:val="32"/>
          <w:szCs w:val="20"/>
        </w:rPr>
        <w:t>年</w:t>
      </w:r>
      <w:r>
        <w:rPr>
          <w:rFonts w:hint="eastAsia" w:ascii="仿宋_GB2312" w:eastAsia="仿宋_GB2312"/>
          <w:color w:val="000000"/>
          <w:sz w:val="32"/>
          <w:szCs w:val="20"/>
          <w:lang w:val="en-US" w:eastAsia="zh-CN"/>
        </w:rPr>
        <w:t>02</w:t>
      </w:r>
      <w:r>
        <w:rPr>
          <w:rFonts w:hint="eastAsia" w:ascii="仿宋_GB2312" w:eastAsia="仿宋_GB2312"/>
          <w:color w:val="000000"/>
          <w:sz w:val="32"/>
          <w:szCs w:val="20"/>
        </w:rPr>
        <w:t>月</w:t>
      </w:r>
      <w:r>
        <w:rPr>
          <w:rFonts w:hint="eastAsia" w:ascii="仿宋_GB2312" w:eastAsia="仿宋_GB2312"/>
          <w:color w:val="000000"/>
          <w:sz w:val="32"/>
          <w:szCs w:val="20"/>
          <w:lang w:val="en-US" w:eastAsia="zh-CN"/>
        </w:rPr>
        <w:t>22</w:t>
      </w:r>
      <w:bookmarkStart w:id="2" w:name="_GoBack"/>
      <w:bookmarkEnd w:id="2"/>
      <w:r>
        <w:rPr>
          <w:rFonts w:hint="eastAsia" w:ascii="仿宋_GB2312" w:eastAsia="仿宋_GB2312"/>
          <w:color w:val="000000"/>
          <w:sz w:val="32"/>
          <w:szCs w:val="20"/>
        </w:rPr>
        <w:t>日</w:t>
      </w:r>
    </w:p>
    <w:p>
      <w:pPr>
        <w:adjustRightInd w:val="0"/>
        <w:spacing w:line="570" w:lineRule="exact"/>
        <w:ind w:firstLine="4160" w:firstLineChars="1300"/>
        <w:jc w:val="left"/>
        <w:rPr>
          <w:rFonts w:ascii="仿宋_GB2312" w:eastAsia="仿宋_GB2312"/>
          <w:sz w:val="32"/>
          <w:szCs w:val="20"/>
        </w:rPr>
      </w:pPr>
    </w:p>
    <w:p>
      <w:pPr>
        <w:snapToGrid w:val="0"/>
        <w:spacing w:line="20" w:lineRule="exact"/>
        <w:rPr>
          <w:rFonts w:ascii="华文中宋" w:hAnsi="华文中宋" w:eastAsia="华文中宋"/>
          <w:spacing w:val="-20"/>
          <w:sz w:val="32"/>
          <w:szCs w:val="32"/>
        </w:rPr>
      </w:pPr>
    </w:p>
    <w:p/>
    <w:p/>
    <w:sectPr>
      <w:footerReference r:id="rId3" w:type="default"/>
      <w:pgSz w:w="11906" w:h="16838"/>
      <w:pgMar w:top="1418" w:right="1558" w:bottom="1418" w:left="1644"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6B"/>
    <w:rsid w:val="000756A3"/>
    <w:rsid w:val="000A7AA0"/>
    <w:rsid w:val="000D10FD"/>
    <w:rsid w:val="000F7341"/>
    <w:rsid w:val="000F7F23"/>
    <w:rsid w:val="0011046B"/>
    <w:rsid w:val="0011357B"/>
    <w:rsid w:val="00114672"/>
    <w:rsid w:val="00123DAC"/>
    <w:rsid w:val="001353C9"/>
    <w:rsid w:val="00143D24"/>
    <w:rsid w:val="00156931"/>
    <w:rsid w:val="00160703"/>
    <w:rsid w:val="0017078B"/>
    <w:rsid w:val="00193494"/>
    <w:rsid w:val="0019472F"/>
    <w:rsid w:val="001948ED"/>
    <w:rsid w:val="001F708F"/>
    <w:rsid w:val="00212C1C"/>
    <w:rsid w:val="0023472C"/>
    <w:rsid w:val="00243592"/>
    <w:rsid w:val="00295701"/>
    <w:rsid w:val="002C2F0A"/>
    <w:rsid w:val="002D32C8"/>
    <w:rsid w:val="002E0FB9"/>
    <w:rsid w:val="002E1D99"/>
    <w:rsid w:val="0031225B"/>
    <w:rsid w:val="00326A74"/>
    <w:rsid w:val="00354C6D"/>
    <w:rsid w:val="00356FE5"/>
    <w:rsid w:val="00364C27"/>
    <w:rsid w:val="00365F6E"/>
    <w:rsid w:val="003A3FEB"/>
    <w:rsid w:val="004025F8"/>
    <w:rsid w:val="0040509B"/>
    <w:rsid w:val="00424EE6"/>
    <w:rsid w:val="004348FB"/>
    <w:rsid w:val="00494DB2"/>
    <w:rsid w:val="00495977"/>
    <w:rsid w:val="004A1143"/>
    <w:rsid w:val="004A7CC4"/>
    <w:rsid w:val="004B17AF"/>
    <w:rsid w:val="004C1249"/>
    <w:rsid w:val="004C6547"/>
    <w:rsid w:val="00552E6A"/>
    <w:rsid w:val="00573421"/>
    <w:rsid w:val="00575803"/>
    <w:rsid w:val="005E481F"/>
    <w:rsid w:val="00646187"/>
    <w:rsid w:val="00677375"/>
    <w:rsid w:val="006774BB"/>
    <w:rsid w:val="00677EB4"/>
    <w:rsid w:val="006C2E13"/>
    <w:rsid w:val="006C6D2A"/>
    <w:rsid w:val="00732DE1"/>
    <w:rsid w:val="00744234"/>
    <w:rsid w:val="00780548"/>
    <w:rsid w:val="007A2321"/>
    <w:rsid w:val="007A6F87"/>
    <w:rsid w:val="007B37A7"/>
    <w:rsid w:val="007B7B71"/>
    <w:rsid w:val="007D37D0"/>
    <w:rsid w:val="00816BA0"/>
    <w:rsid w:val="00825C2B"/>
    <w:rsid w:val="00835259"/>
    <w:rsid w:val="008524EA"/>
    <w:rsid w:val="00893115"/>
    <w:rsid w:val="00897CAE"/>
    <w:rsid w:val="008A06F9"/>
    <w:rsid w:val="008A2664"/>
    <w:rsid w:val="008B09A5"/>
    <w:rsid w:val="008B610B"/>
    <w:rsid w:val="00906E98"/>
    <w:rsid w:val="0093731F"/>
    <w:rsid w:val="0098334D"/>
    <w:rsid w:val="009E310E"/>
    <w:rsid w:val="009E4934"/>
    <w:rsid w:val="00A04D9E"/>
    <w:rsid w:val="00A414AF"/>
    <w:rsid w:val="00A73FAC"/>
    <w:rsid w:val="00A965E5"/>
    <w:rsid w:val="00AC71D7"/>
    <w:rsid w:val="00AF45F9"/>
    <w:rsid w:val="00B43CC2"/>
    <w:rsid w:val="00B5172E"/>
    <w:rsid w:val="00B662AB"/>
    <w:rsid w:val="00B86106"/>
    <w:rsid w:val="00B91A08"/>
    <w:rsid w:val="00BA25BF"/>
    <w:rsid w:val="00BA5F48"/>
    <w:rsid w:val="00BC0EFD"/>
    <w:rsid w:val="00BD5D40"/>
    <w:rsid w:val="00BE7BA6"/>
    <w:rsid w:val="00C00893"/>
    <w:rsid w:val="00C12D3D"/>
    <w:rsid w:val="00C1306F"/>
    <w:rsid w:val="00C216D6"/>
    <w:rsid w:val="00C35D03"/>
    <w:rsid w:val="00C503E2"/>
    <w:rsid w:val="00CB6A86"/>
    <w:rsid w:val="00CD7694"/>
    <w:rsid w:val="00D144CE"/>
    <w:rsid w:val="00D46352"/>
    <w:rsid w:val="00D54D1F"/>
    <w:rsid w:val="00D84F4D"/>
    <w:rsid w:val="00DB0559"/>
    <w:rsid w:val="00DC7486"/>
    <w:rsid w:val="00DC7547"/>
    <w:rsid w:val="00DD429B"/>
    <w:rsid w:val="00DE2FB2"/>
    <w:rsid w:val="00DE3B54"/>
    <w:rsid w:val="00E028C3"/>
    <w:rsid w:val="00E3512A"/>
    <w:rsid w:val="00E557ED"/>
    <w:rsid w:val="00EB7385"/>
    <w:rsid w:val="00EF2AFD"/>
    <w:rsid w:val="00EF7E42"/>
    <w:rsid w:val="00F114EC"/>
    <w:rsid w:val="00F13949"/>
    <w:rsid w:val="00F222D5"/>
    <w:rsid w:val="00F575FC"/>
    <w:rsid w:val="00F60DF7"/>
    <w:rsid w:val="00F6279D"/>
    <w:rsid w:val="00F6776D"/>
    <w:rsid w:val="00F86FA1"/>
    <w:rsid w:val="00F905F7"/>
    <w:rsid w:val="00F94D1A"/>
    <w:rsid w:val="00F973ED"/>
    <w:rsid w:val="00FB66DD"/>
    <w:rsid w:val="00FD2C35"/>
    <w:rsid w:val="00FE28D5"/>
    <w:rsid w:val="00FF7712"/>
    <w:rsid w:val="161A6983"/>
    <w:rsid w:val="1C5615F3"/>
    <w:rsid w:val="227B36E6"/>
    <w:rsid w:val="23BF13D9"/>
    <w:rsid w:val="2783782C"/>
    <w:rsid w:val="27E96699"/>
    <w:rsid w:val="298637A7"/>
    <w:rsid w:val="2A6E6F28"/>
    <w:rsid w:val="2D0E7595"/>
    <w:rsid w:val="2FEA2493"/>
    <w:rsid w:val="3F3B3261"/>
    <w:rsid w:val="462A2051"/>
    <w:rsid w:val="47610574"/>
    <w:rsid w:val="49E27CBC"/>
    <w:rsid w:val="4A9F3E38"/>
    <w:rsid w:val="51EF7995"/>
    <w:rsid w:val="57A133DA"/>
    <w:rsid w:val="5C270373"/>
    <w:rsid w:val="65AC53E3"/>
    <w:rsid w:val="68326F6E"/>
    <w:rsid w:val="73B14646"/>
    <w:rsid w:val="75476FB0"/>
    <w:rsid w:val="77DF1580"/>
    <w:rsid w:val="792D1E7A"/>
    <w:rsid w:val="7C93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5"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w:basedOn w:val="1"/>
    <w:qFormat/>
    <w:uiPriority w:val="1"/>
    <w:pPr>
      <w:spacing w:before="17"/>
      <w:ind w:left="102"/>
      <w:jc w:val="left"/>
    </w:pPr>
    <w:rPr>
      <w:rFonts w:ascii="宋体" w:hAnsi="宋体" w:cs="宋体"/>
      <w:kern w:val="0"/>
      <w:sz w:val="22"/>
      <w:szCs w:val="22"/>
      <w:lang w:eastAsia="en-US"/>
    </w:rPr>
  </w:style>
  <w:style w:type="paragraph" w:styleId="6">
    <w:name w:val="Plain Text"/>
    <w:basedOn w:val="1"/>
    <w:link w:val="24"/>
    <w:unhideWhenUsed/>
    <w:qFormat/>
    <w:uiPriority w:val="99"/>
    <w:rPr>
      <w:rFonts w:ascii="宋体" w:hAnsi="Courier New" w:cs="Courier New"/>
      <w:szCs w:val="21"/>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2"/>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itle"/>
    <w:basedOn w:val="1"/>
    <w:next w:val="1"/>
    <w:link w:val="23"/>
    <w:qFormat/>
    <w:uiPriority w:val="10"/>
    <w:pPr>
      <w:spacing w:before="240" w:after="60"/>
      <w:jc w:val="center"/>
      <w:outlineLvl w:val="0"/>
    </w:pPr>
    <w:rPr>
      <w:rFonts w:ascii="Cambria" w:hAnsi="Cambria"/>
      <w:b/>
      <w:bCs/>
      <w:sz w:val="32"/>
      <w:szCs w:val="32"/>
    </w:rPr>
  </w:style>
  <w:style w:type="paragraph" w:styleId="12">
    <w:name w:val="annotation subject"/>
    <w:basedOn w:val="4"/>
    <w:next w:val="4"/>
    <w:link w:val="29"/>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Char"/>
    <w:basedOn w:val="15"/>
    <w:link w:val="2"/>
    <w:qFormat/>
    <w:uiPriority w:val="9"/>
    <w:rPr>
      <w:rFonts w:ascii="Times New Roman" w:hAnsi="Times New Roman" w:eastAsia="宋体" w:cs="Times New Roman"/>
      <w:b/>
      <w:bCs/>
      <w:kern w:val="44"/>
      <w:sz w:val="44"/>
      <w:szCs w:val="44"/>
    </w:rPr>
  </w:style>
  <w:style w:type="character" w:customStyle="1" w:styleId="21">
    <w:name w:val="标题 2 Char"/>
    <w:basedOn w:val="15"/>
    <w:link w:val="3"/>
    <w:qFormat/>
    <w:uiPriority w:val="9"/>
    <w:rPr>
      <w:rFonts w:ascii="Cambria" w:hAnsi="Cambria" w:eastAsia="宋体" w:cs="Times New Roman"/>
      <w:b/>
      <w:bCs/>
      <w:sz w:val="32"/>
      <w:szCs w:val="32"/>
    </w:rPr>
  </w:style>
  <w:style w:type="character" w:customStyle="1" w:styleId="22">
    <w:name w:val="批注框文本 Char"/>
    <w:basedOn w:val="15"/>
    <w:link w:val="8"/>
    <w:qFormat/>
    <w:uiPriority w:val="99"/>
    <w:rPr>
      <w:rFonts w:ascii="Times New Roman" w:hAnsi="Times New Roman" w:eastAsia="宋体" w:cs="Times New Roman"/>
      <w:sz w:val="18"/>
      <w:szCs w:val="18"/>
    </w:rPr>
  </w:style>
  <w:style w:type="character" w:customStyle="1" w:styleId="23">
    <w:name w:val="标题 Char"/>
    <w:basedOn w:val="15"/>
    <w:link w:val="11"/>
    <w:qFormat/>
    <w:uiPriority w:val="10"/>
    <w:rPr>
      <w:rFonts w:ascii="Cambria" w:hAnsi="Cambria" w:eastAsia="宋体" w:cs="Times New Roman"/>
      <w:b/>
      <w:bCs/>
      <w:sz w:val="32"/>
      <w:szCs w:val="32"/>
    </w:rPr>
  </w:style>
  <w:style w:type="character" w:customStyle="1" w:styleId="24">
    <w:name w:val="纯文本 Char"/>
    <w:basedOn w:val="15"/>
    <w:link w:val="6"/>
    <w:qFormat/>
    <w:uiPriority w:val="99"/>
    <w:rPr>
      <w:rFonts w:ascii="宋体" w:hAnsi="Courier New" w:eastAsia="宋体" w:cs="Courier New"/>
      <w:szCs w:val="21"/>
    </w:rPr>
  </w:style>
  <w:style w:type="table" w:customStyle="1" w:styleId="25">
    <w:name w:val="网格型1"/>
    <w:basedOn w:val="13"/>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日期 Char"/>
    <w:basedOn w:val="15"/>
    <w:link w:val="7"/>
    <w:semiHidden/>
    <w:qFormat/>
    <w:uiPriority w:val="99"/>
    <w:rPr>
      <w:rFonts w:ascii="Times New Roman" w:hAnsi="Times New Roman" w:eastAsia="宋体" w:cs="Times New Roman"/>
      <w:szCs w:val="24"/>
    </w:rPr>
  </w:style>
  <w:style w:type="paragraph" w:customStyle="1" w:styleId="2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8">
    <w:name w:val="批注文字 Char"/>
    <w:basedOn w:val="15"/>
    <w:link w:val="4"/>
    <w:semiHidden/>
    <w:qFormat/>
    <w:uiPriority w:val="99"/>
    <w:rPr>
      <w:rFonts w:ascii="Times New Roman" w:hAnsi="Times New Roman" w:eastAsia="宋体" w:cs="Times New Roman"/>
      <w:szCs w:val="24"/>
    </w:rPr>
  </w:style>
  <w:style w:type="character" w:customStyle="1" w:styleId="29">
    <w:name w:val="批注主题 Char"/>
    <w:basedOn w:val="28"/>
    <w:link w:val="12"/>
    <w:semiHidden/>
    <w:qFormat/>
    <w:uiPriority w:val="99"/>
    <w:rPr>
      <w:rFonts w:ascii="Times New Roman" w:hAnsi="Times New Roman" w:eastAsia="宋体" w:cs="Times New Roman"/>
      <w:b/>
      <w:bCs/>
      <w:szCs w:val="24"/>
    </w:rPr>
  </w:style>
  <w:style w:type="paragraph" w:customStyle="1" w:styleId="30">
    <w:name w:val="Table Paragraph"/>
    <w:basedOn w:val="1"/>
    <w:qFormat/>
    <w:uiPriority w:val="1"/>
    <w:pPr>
      <w:spacing w:line="249" w:lineRule="exact"/>
      <w:ind w:left="10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B64FB-F1BC-4C06-820D-E03C8995E0A3}">
  <ds:schemaRefs/>
</ds:datastoreItem>
</file>

<file path=docProps/app.xml><?xml version="1.0" encoding="utf-8"?>
<Properties xmlns="http://schemas.openxmlformats.org/officeDocument/2006/extended-properties" xmlns:vt="http://schemas.openxmlformats.org/officeDocument/2006/docPropsVTypes">
  <Template>Normal</Template>
  <Company>GHBANK</Company>
  <Pages>10</Pages>
  <Words>824</Words>
  <Characters>4698</Characters>
  <Lines>39</Lines>
  <Paragraphs>11</Paragraphs>
  <TotalTime>1</TotalTime>
  <ScaleCrop>false</ScaleCrop>
  <LinksUpToDate>false</LinksUpToDate>
  <CharactersWithSpaces>5511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2018-12-25T02:45:00Z</dcterms:created>
  <dc:creator>Dell</dc:creator>
  <cp:lastModifiedBy>lf.peng</cp:lastModifiedBy>
  <dcterms:modified xsi:type="dcterms:W3CDTF">2024-02-23T08:41:39Z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0E472ADF0A49474EBB0EE6E93D025A47</vt:lpwstr>
  </property>
</Properties>
</file>